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AE4" w:rsidRPr="00311300" w:rsidRDefault="001C4AE4" w:rsidP="001C4AE4">
      <w:pPr>
        <w:pStyle w:val="Titel"/>
        <w:rPr>
          <w:rFonts w:eastAsia="Times New Roman"/>
          <w:sz w:val="36"/>
          <w:lang w:eastAsia="de-DE"/>
        </w:rPr>
      </w:pPr>
      <w:r w:rsidRPr="00311300">
        <w:rPr>
          <w:rFonts w:eastAsia="Times New Roman"/>
          <w:sz w:val="36"/>
          <w:lang w:eastAsia="de-DE"/>
        </w:rPr>
        <w:t>Prüf</w:t>
      </w:r>
      <w:r w:rsidR="005C6B62" w:rsidRPr="00311300">
        <w:rPr>
          <w:rFonts w:eastAsia="Times New Roman"/>
          <w:sz w:val="36"/>
          <w:lang w:eastAsia="de-DE"/>
        </w:rPr>
        <w:t>schema für</w:t>
      </w:r>
      <w:r w:rsidRPr="00311300">
        <w:rPr>
          <w:rFonts w:eastAsia="Times New Roman"/>
          <w:sz w:val="36"/>
          <w:lang w:eastAsia="de-DE"/>
        </w:rPr>
        <w:t xml:space="preserve"> automatisierte Entscheidungsfindungen</w:t>
      </w:r>
      <w:r w:rsidR="005C6B62" w:rsidRPr="00311300">
        <w:rPr>
          <w:rFonts w:eastAsia="Times New Roman"/>
          <w:sz w:val="36"/>
          <w:lang w:eastAsia="de-DE"/>
        </w:rPr>
        <w:t xml:space="preserve"> nach Artikel 22 DSGVO</w:t>
      </w:r>
    </w:p>
    <w:p w:rsidR="00F10DDE" w:rsidRDefault="00F10DDE" w:rsidP="00F10DDE">
      <w:pPr>
        <w:rPr>
          <w:lang w:eastAsia="de-DE"/>
        </w:rPr>
      </w:pPr>
      <w:r>
        <w:rPr>
          <w:lang w:eastAsia="de-DE"/>
        </w:rPr>
        <w:t xml:space="preserve">Version 0.9 vom </w:t>
      </w:r>
      <w:r>
        <w:rPr>
          <w:lang w:eastAsia="de-DE"/>
        </w:rPr>
        <w:fldChar w:fldCharType="begin"/>
      </w:r>
      <w:r>
        <w:rPr>
          <w:lang w:eastAsia="de-DE"/>
        </w:rPr>
        <w:instrText xml:space="preserve"> TIME \@ "d. MMMM yyyy" </w:instrText>
      </w:r>
      <w:r>
        <w:rPr>
          <w:lang w:eastAsia="de-DE"/>
        </w:rPr>
        <w:fldChar w:fldCharType="separate"/>
      </w:r>
      <w:r>
        <w:rPr>
          <w:noProof/>
          <w:lang w:eastAsia="de-DE"/>
        </w:rPr>
        <w:t>20. Juni 2025</w:t>
      </w:r>
      <w:r>
        <w:rPr>
          <w:lang w:eastAsia="de-DE"/>
        </w:rPr>
        <w:fldChar w:fldCharType="end"/>
      </w:r>
      <w:r>
        <w:rPr>
          <w:lang w:eastAsia="de-DE"/>
        </w:rPr>
        <w:t xml:space="preserve"> (Rückmeldungen für Verbesserungen gern direkt an den Autor)</w:t>
      </w:r>
    </w:p>
    <w:p w:rsidR="003D5F9E" w:rsidRDefault="003D5F9E" w:rsidP="001C4AE4">
      <w:pPr>
        <w:pStyle w:val="Untertitel"/>
        <w:rPr>
          <w:lang w:eastAsia="de-DE"/>
        </w:rPr>
      </w:pPr>
    </w:p>
    <w:p w:rsidR="003D5F9E" w:rsidRDefault="003D5F9E" w:rsidP="001C4AE4">
      <w:pPr>
        <w:pStyle w:val="Untertitel"/>
        <w:rPr>
          <w:lang w:eastAsia="de-DE"/>
        </w:rPr>
      </w:pPr>
      <w:r>
        <w:rPr>
          <w:lang w:eastAsia="de-DE"/>
        </w:rPr>
        <w:t>AUTOR:</w:t>
      </w:r>
    </w:p>
    <w:p w:rsidR="003D5F9E" w:rsidRDefault="001C4AE4" w:rsidP="003D5F9E">
      <w:pPr>
        <w:pStyle w:val="Untertitel"/>
        <w:rPr>
          <w:lang w:val="en-GB" w:eastAsia="de-DE"/>
        </w:rPr>
      </w:pPr>
      <w:proofErr w:type="spellStart"/>
      <w:r w:rsidRPr="001F03AF">
        <w:rPr>
          <w:lang w:val="en-GB" w:eastAsia="de-DE"/>
        </w:rPr>
        <w:t>Dr.</w:t>
      </w:r>
      <w:proofErr w:type="spellEnd"/>
      <w:r w:rsidRPr="001F03AF">
        <w:rPr>
          <w:lang w:val="en-GB" w:eastAsia="de-DE"/>
        </w:rPr>
        <w:t xml:space="preserve"> Mattis Neiling</w:t>
      </w:r>
      <w:r w:rsidR="003D5F9E" w:rsidRPr="001F03AF">
        <w:rPr>
          <w:lang w:val="en-GB" w:eastAsia="de-DE"/>
        </w:rPr>
        <w:t xml:space="preserve"> </w:t>
      </w:r>
      <w:r w:rsidR="003D5F9E" w:rsidRPr="001F03AF">
        <w:rPr>
          <w:lang w:val="en-GB" w:eastAsia="de-DE"/>
        </w:rPr>
        <w:br/>
      </w:r>
      <w:hyperlink r:id="rId8" w:history="1">
        <w:r w:rsidR="003D5F9E" w:rsidRPr="001F03AF">
          <w:rPr>
            <w:rStyle w:val="Hyperlink"/>
            <w:lang w:val="en-GB" w:eastAsia="de-DE"/>
          </w:rPr>
          <w:t>m.neiling@tu-berlin.de</w:t>
        </w:r>
      </w:hyperlink>
      <w:r w:rsidR="003D5F9E" w:rsidRPr="001F03AF">
        <w:rPr>
          <w:lang w:val="en-GB" w:eastAsia="de-DE"/>
        </w:rPr>
        <w:t xml:space="preserve"> </w:t>
      </w:r>
    </w:p>
    <w:p w:rsidR="003D5F9E" w:rsidRPr="001F03AF" w:rsidRDefault="003D5F9E" w:rsidP="001F03AF">
      <w:pPr>
        <w:pStyle w:val="Untertitel"/>
        <w:rPr>
          <w:lang w:eastAsia="de-DE"/>
        </w:rPr>
      </w:pPr>
      <w:r w:rsidRPr="001F03AF">
        <w:rPr>
          <w:lang w:eastAsia="de-DE"/>
        </w:rPr>
        <w:t>Datenschutzbeauftragter</w:t>
      </w:r>
      <w:r w:rsidRPr="001F03AF">
        <w:rPr>
          <w:lang w:eastAsia="de-DE"/>
        </w:rPr>
        <w:t xml:space="preserve"> der </w:t>
      </w:r>
      <w:r w:rsidRPr="001F03AF">
        <w:rPr>
          <w:lang w:eastAsia="de-DE"/>
        </w:rPr>
        <w:t>Technische</w:t>
      </w:r>
      <w:r w:rsidRPr="001F03AF">
        <w:rPr>
          <w:lang w:eastAsia="de-DE"/>
        </w:rPr>
        <w:t>n</w:t>
      </w:r>
      <w:r w:rsidRPr="001F03AF">
        <w:rPr>
          <w:lang w:eastAsia="de-DE"/>
        </w:rPr>
        <w:t xml:space="preserve"> Universität Berlin </w:t>
      </w:r>
    </w:p>
    <w:p w:rsidR="001F03AF" w:rsidRDefault="001F03AF" w:rsidP="001C4AE4">
      <w:pPr>
        <w:rPr>
          <w:lang w:eastAsia="de-DE"/>
        </w:rPr>
      </w:pPr>
    </w:p>
    <w:p w:rsidR="00E15415" w:rsidRPr="00F10DDE" w:rsidRDefault="003D5F9E" w:rsidP="001C4AE4">
      <w:pPr>
        <w:rPr>
          <w:rStyle w:val="Hyperlink"/>
          <w:color w:val="auto"/>
          <w:u w:val="none"/>
          <w:lang w:eastAsia="de-DE"/>
        </w:rPr>
      </w:pPr>
      <w:r>
        <w:t>Als Word-Vorlage a</w:t>
      </w:r>
      <w:r>
        <w:t xml:space="preserve">brufbar unter </w:t>
      </w:r>
      <w:hyperlink r:id="rId9" w:history="1">
        <w:r w:rsidRPr="00C94691">
          <w:rPr>
            <w:rStyle w:val="Hyperlink"/>
            <w:lang w:eastAsia="de-DE"/>
          </w:rPr>
          <w:t>https://tu-berlin.de/k3/datenschutz/</w:t>
        </w:r>
      </w:hyperlink>
      <w:r>
        <w:rPr>
          <w:lang w:eastAsia="de-DE"/>
        </w:rPr>
        <w:t xml:space="preserve"> </w:t>
      </w:r>
      <w:r w:rsidR="00F10DDE">
        <w:rPr>
          <w:lang w:eastAsia="de-DE"/>
        </w:rPr>
        <w:br/>
      </w:r>
      <w:r>
        <w:rPr>
          <w:lang w:eastAsia="de-DE"/>
        </w:rPr>
        <w:t xml:space="preserve">Nutzung entsprechend der </w:t>
      </w:r>
      <w:hyperlink r:id="rId10" w:tgtFrame="_blank" w:history="1">
        <w:r>
          <w:rPr>
            <w:rStyle w:val="Hyperlink"/>
          </w:rPr>
          <w:t>CC-BY 4.0 Lizenzbedingungen</w:t>
        </w:r>
      </w:hyperlink>
      <w:r w:rsidR="00E15415">
        <w:rPr>
          <w:rStyle w:val="Hyperlink"/>
        </w:rPr>
        <w:t xml:space="preserve"> </w:t>
      </w:r>
    </w:p>
    <w:p w:rsidR="003D5F9E" w:rsidRPr="001F03AF" w:rsidRDefault="003D5F9E" w:rsidP="001F03AF">
      <w:pPr>
        <w:pStyle w:val="Funotentext"/>
        <w:rPr>
          <w:sz w:val="22"/>
          <w:szCs w:val="22"/>
        </w:rPr>
      </w:pPr>
      <w:r w:rsidRPr="001F03AF">
        <w:rPr>
          <w:sz w:val="22"/>
          <w:szCs w:val="22"/>
          <w:lang w:eastAsia="de-DE"/>
        </w:rPr>
        <w:t>Siehe dazu auch Publikationen in den BvD-News Sommer 2025</w:t>
      </w:r>
      <w:r w:rsidRPr="001F03AF">
        <w:rPr>
          <w:rStyle w:val="Funotenzeichen"/>
          <w:sz w:val="22"/>
          <w:szCs w:val="22"/>
          <w:lang w:eastAsia="de-DE"/>
        </w:rPr>
        <w:footnoteReference w:id="1"/>
      </w:r>
      <w:r w:rsidRPr="001F03AF">
        <w:rPr>
          <w:sz w:val="22"/>
          <w:szCs w:val="22"/>
          <w:lang w:eastAsia="de-DE"/>
        </w:rPr>
        <w:t xml:space="preserve"> und unter </w:t>
      </w:r>
      <w:hyperlink r:id="rId11" w:history="1">
        <w:r w:rsidRPr="001F03AF">
          <w:rPr>
            <w:rStyle w:val="Hyperlink"/>
            <w:sz w:val="22"/>
            <w:szCs w:val="22"/>
          </w:rPr>
          <w:t>blogs.tu-berlin.de/datenschutz_notizen/tag/kuenstliche-intelligenz/</w:t>
        </w:r>
      </w:hyperlink>
      <w:r w:rsidRPr="001F03AF">
        <w:rPr>
          <w:sz w:val="22"/>
          <w:szCs w:val="22"/>
        </w:rPr>
        <w:t xml:space="preserve"> </w:t>
      </w:r>
      <w:r w:rsidR="00E15415">
        <w:rPr>
          <w:sz w:val="22"/>
          <w:szCs w:val="22"/>
        </w:rPr>
        <w:t xml:space="preserve"> </w:t>
      </w:r>
      <w:r w:rsidR="00E15415" w:rsidRPr="001F03AF">
        <w:rPr>
          <w:sz w:val="22"/>
          <w:szCs w:val="22"/>
        </w:rPr>
        <w:t xml:space="preserve">sowie </w:t>
      </w:r>
      <w:r w:rsidRPr="001F03AF">
        <w:rPr>
          <w:sz w:val="22"/>
          <w:szCs w:val="22"/>
          <w:lang w:eastAsia="de-DE"/>
        </w:rPr>
        <w:t xml:space="preserve">Vorträge: </w:t>
      </w:r>
    </w:p>
    <w:p w:rsidR="00E15415" w:rsidRDefault="00E15415" w:rsidP="003D5F9E">
      <w:pPr>
        <w:pStyle w:val="Listenabsatz"/>
        <w:numPr>
          <w:ilvl w:val="0"/>
          <w:numId w:val="24"/>
        </w:numPr>
      </w:pPr>
      <w:r w:rsidRPr="00E15415">
        <w:t>BvD-Verbandstage 27./28. Mai 2025</w:t>
      </w:r>
      <w:r w:rsidRPr="001F03AF">
        <w:t xml:space="preserve"> </w:t>
      </w:r>
    </w:p>
    <w:p w:rsidR="003D5F9E" w:rsidRPr="001F03AF" w:rsidRDefault="003D5F9E" w:rsidP="001F03AF">
      <w:pPr>
        <w:pStyle w:val="Listenabsatz"/>
        <w:numPr>
          <w:ilvl w:val="0"/>
          <w:numId w:val="24"/>
        </w:numPr>
      </w:pPr>
      <w:r w:rsidRPr="001F03AF">
        <w:t>12. DFN-Konferenz Datenschutz</w:t>
      </w:r>
      <w:r w:rsidRPr="001F03AF">
        <w:t xml:space="preserve"> 9</w:t>
      </w:r>
      <w:r w:rsidR="00E15415">
        <w:t>./</w:t>
      </w:r>
      <w:r w:rsidRPr="001F03AF">
        <w:t>10.12.2025 in Hambu</w:t>
      </w:r>
      <w:r w:rsidR="00E15415" w:rsidRPr="001F03AF">
        <w:t>r</w:t>
      </w:r>
      <w:r w:rsidRPr="001F03AF">
        <w:t>g</w:t>
      </w:r>
    </w:p>
    <w:p w:rsidR="003D5F9E" w:rsidRDefault="003D5F9E" w:rsidP="001C4AE4">
      <w:pPr>
        <w:pBdr>
          <w:bottom w:val="single" w:sz="6" w:space="1" w:color="auto"/>
        </w:pBdr>
        <w:rPr>
          <w:lang w:eastAsia="de-DE"/>
        </w:rPr>
      </w:pPr>
    </w:p>
    <w:p w:rsidR="001F03AF" w:rsidRDefault="001F03AF" w:rsidP="001C4AE4">
      <w:pPr>
        <w:rPr>
          <w:lang w:eastAsia="de-DE"/>
        </w:rPr>
      </w:pPr>
    </w:p>
    <w:p w:rsidR="008A5BB1" w:rsidRDefault="00D17D59" w:rsidP="00D17D59">
      <w:pPr>
        <w:rPr>
          <w:lang w:eastAsia="de-DE"/>
        </w:rPr>
      </w:pPr>
      <w:r>
        <w:rPr>
          <w:lang w:eastAsia="de-DE"/>
        </w:rPr>
        <w:t>Mit Hilfe d</w:t>
      </w:r>
      <w:r w:rsidR="00311300">
        <w:rPr>
          <w:lang w:eastAsia="de-DE"/>
        </w:rPr>
        <w:t>ies</w:t>
      </w:r>
      <w:r>
        <w:rPr>
          <w:lang w:eastAsia="de-DE"/>
        </w:rPr>
        <w:t>e</w:t>
      </w:r>
      <w:r w:rsidR="00311300">
        <w:rPr>
          <w:lang w:eastAsia="de-DE"/>
        </w:rPr>
        <w:t>r Vorlage</w:t>
      </w:r>
      <w:r>
        <w:rPr>
          <w:lang w:eastAsia="de-DE"/>
        </w:rPr>
        <w:t xml:space="preserve"> kann von Verantwortlichen geprüft und dokumentiert werden, inwieweit eine Verarbeitung personenbezogener Daten, bei der automatisierte Prozesse ablaufen, die Anforderungen für a</w:t>
      </w:r>
      <w:r w:rsidRPr="00D17D59">
        <w:rPr>
          <w:lang w:eastAsia="de-DE"/>
        </w:rPr>
        <w:t>utomatisierte Entscheidungsfindung</w:t>
      </w:r>
      <w:r>
        <w:rPr>
          <w:lang w:eastAsia="de-DE"/>
        </w:rPr>
        <w:t xml:space="preserve">en </w:t>
      </w:r>
      <w:r w:rsidRPr="00D17D59">
        <w:rPr>
          <w:lang w:eastAsia="de-DE"/>
        </w:rPr>
        <w:t>nach Artikel 22 DSGVO</w:t>
      </w:r>
      <w:r>
        <w:rPr>
          <w:lang w:eastAsia="de-DE"/>
        </w:rPr>
        <w:t xml:space="preserve"> erfüllt.</w:t>
      </w:r>
      <w:r w:rsidR="00311300" w:rsidRPr="00311300">
        <w:rPr>
          <w:vertAlign w:val="superscript"/>
          <w:lang w:eastAsia="de-DE"/>
        </w:rPr>
        <w:t>,</w:t>
      </w:r>
      <w:r w:rsidR="008A5BB1">
        <w:rPr>
          <w:rStyle w:val="Funotenzeichen"/>
          <w:lang w:eastAsia="de-DE"/>
        </w:rPr>
        <w:footnoteReference w:id="2"/>
      </w:r>
    </w:p>
    <w:p w:rsidR="00D17D59" w:rsidRDefault="00D17D59" w:rsidP="00D17D59">
      <w:pPr>
        <w:rPr>
          <w:lang w:eastAsia="de-DE"/>
        </w:rPr>
      </w:pPr>
      <w:r>
        <w:rPr>
          <w:lang w:eastAsia="de-DE"/>
        </w:rPr>
        <w:t>Als Ergebnis der Prüfung können folgende drei Fälle eintreten:</w:t>
      </w:r>
    </w:p>
    <w:p w:rsidR="00584725" w:rsidRDefault="00D17D59" w:rsidP="00D17D59">
      <w:pPr>
        <w:pStyle w:val="Listenabsatz"/>
        <w:numPr>
          <w:ilvl w:val="0"/>
          <w:numId w:val="5"/>
        </w:numPr>
        <w:rPr>
          <w:lang w:eastAsia="de-DE"/>
        </w:rPr>
      </w:pPr>
      <w:r>
        <w:rPr>
          <w:lang w:eastAsia="de-DE"/>
        </w:rPr>
        <w:t xml:space="preserve">Die Verarbeitungstätigkeit ist </w:t>
      </w:r>
      <w:r w:rsidRPr="00584725">
        <w:rPr>
          <w:b/>
          <w:lang w:eastAsia="de-DE"/>
        </w:rPr>
        <w:t>KEINE automatisierte Entscheidungsfindung</w:t>
      </w:r>
      <w:r>
        <w:rPr>
          <w:lang w:eastAsia="de-DE"/>
        </w:rPr>
        <w:t xml:space="preserve"> </w:t>
      </w:r>
      <w:r w:rsidRPr="00D17D59">
        <w:rPr>
          <w:lang w:eastAsia="de-DE"/>
        </w:rPr>
        <w:t>nach Artikel 22 DSGVO</w:t>
      </w:r>
      <w:r>
        <w:rPr>
          <w:lang w:eastAsia="de-DE"/>
        </w:rPr>
        <w:t xml:space="preserve"> </w:t>
      </w:r>
    </w:p>
    <w:p w:rsidR="00584725" w:rsidRDefault="00584725" w:rsidP="00D17D59">
      <w:pPr>
        <w:pStyle w:val="Listenabsatz"/>
        <w:numPr>
          <w:ilvl w:val="0"/>
          <w:numId w:val="5"/>
        </w:numPr>
        <w:rPr>
          <w:lang w:eastAsia="de-DE"/>
        </w:rPr>
      </w:pPr>
      <w:r w:rsidRPr="00584725">
        <w:rPr>
          <w:b/>
          <w:lang w:eastAsia="de-DE"/>
        </w:rPr>
        <w:t>Es</w:t>
      </w:r>
      <w:r w:rsidR="00D17D59" w:rsidRPr="00584725">
        <w:rPr>
          <w:b/>
          <w:lang w:eastAsia="de-DE"/>
        </w:rPr>
        <w:t xml:space="preserve"> handelt sich um eine automatisierte Entscheidungsfindung</w:t>
      </w:r>
      <w:r w:rsidR="00D17D59">
        <w:rPr>
          <w:lang w:eastAsia="de-DE"/>
        </w:rPr>
        <w:t xml:space="preserve"> </w:t>
      </w:r>
      <w:r w:rsidR="00D17D59" w:rsidRPr="00D17D59">
        <w:rPr>
          <w:lang w:eastAsia="de-DE"/>
        </w:rPr>
        <w:t>nach Artikel 22 DSGVO</w:t>
      </w:r>
      <w:r w:rsidR="00D17D59">
        <w:rPr>
          <w:lang w:eastAsia="de-DE"/>
        </w:rPr>
        <w:t xml:space="preserve"> </w:t>
      </w:r>
    </w:p>
    <w:p w:rsidR="00D17D59" w:rsidRDefault="00584725" w:rsidP="00D17D59">
      <w:pPr>
        <w:pStyle w:val="Listenabsatz"/>
        <w:numPr>
          <w:ilvl w:val="0"/>
          <w:numId w:val="5"/>
        </w:numPr>
        <w:rPr>
          <w:lang w:eastAsia="de-DE"/>
        </w:rPr>
      </w:pPr>
      <w:r>
        <w:rPr>
          <w:lang w:eastAsia="de-DE"/>
        </w:rPr>
        <w:t xml:space="preserve">Die </w:t>
      </w:r>
      <w:r w:rsidRPr="00584725">
        <w:rPr>
          <w:b/>
          <w:lang w:eastAsia="de-DE"/>
        </w:rPr>
        <w:t>Verarbeitungstätigkeit ist unzulässig</w:t>
      </w:r>
      <w:r>
        <w:rPr>
          <w:lang w:eastAsia="de-DE"/>
        </w:rPr>
        <w:t xml:space="preserve">, da </w:t>
      </w:r>
      <w:r w:rsidR="00057928">
        <w:rPr>
          <w:lang w:eastAsia="de-DE"/>
        </w:rPr>
        <w:t xml:space="preserve">sie </w:t>
      </w:r>
      <w:r>
        <w:rPr>
          <w:lang w:eastAsia="de-DE"/>
        </w:rPr>
        <w:t xml:space="preserve">nicht </w:t>
      </w:r>
      <w:r w:rsidR="00057928">
        <w:rPr>
          <w:lang w:eastAsia="de-DE"/>
        </w:rPr>
        <w:t xml:space="preserve">alle Anforderungen des </w:t>
      </w:r>
      <w:r w:rsidR="00057928" w:rsidRPr="00D17D59">
        <w:rPr>
          <w:lang w:eastAsia="de-DE"/>
        </w:rPr>
        <w:t>Artikel 22 DSGVO</w:t>
      </w:r>
      <w:r w:rsidR="00057928">
        <w:rPr>
          <w:lang w:eastAsia="de-DE"/>
        </w:rPr>
        <w:t xml:space="preserve"> erfüllt</w:t>
      </w:r>
    </w:p>
    <w:p w:rsidR="00D17D59" w:rsidRDefault="00057928" w:rsidP="00057928">
      <w:pPr>
        <w:rPr>
          <w:lang w:eastAsia="de-DE"/>
        </w:rPr>
      </w:pPr>
      <w:r>
        <w:rPr>
          <w:lang w:eastAsia="de-DE"/>
        </w:rPr>
        <w:t xml:space="preserve">Sofern bei einzelnen Prüfschritten </w:t>
      </w:r>
      <w:r w:rsidR="002F4AB1">
        <w:rPr>
          <w:lang w:eastAsia="de-DE"/>
        </w:rPr>
        <w:t xml:space="preserve">noch </w:t>
      </w:r>
      <w:r>
        <w:rPr>
          <w:lang w:eastAsia="de-DE"/>
        </w:rPr>
        <w:t>Klärungsbedarf bestehen sollte, kann der*die Datenschutzbeauftragte einbezogen werden um zu eine</w:t>
      </w:r>
      <w:r w:rsidR="00B71FB2">
        <w:rPr>
          <w:lang w:eastAsia="de-DE"/>
        </w:rPr>
        <w:t>m</w:t>
      </w:r>
      <w:r>
        <w:rPr>
          <w:lang w:eastAsia="de-DE"/>
        </w:rPr>
        <w:t xml:space="preserve"> abschließenden </w:t>
      </w:r>
      <w:r w:rsidR="00B71FB2">
        <w:rPr>
          <w:lang w:eastAsia="de-DE"/>
        </w:rPr>
        <w:t>Ergebnis</w:t>
      </w:r>
      <w:r>
        <w:rPr>
          <w:lang w:eastAsia="de-DE"/>
        </w:rPr>
        <w:t xml:space="preserve"> zu kommen. </w:t>
      </w:r>
      <w:r w:rsidR="00311300">
        <w:rPr>
          <w:lang w:eastAsia="de-DE"/>
        </w:rPr>
        <w:br/>
        <w:t xml:space="preserve">Eine erneute Prüfung ist geboten, wenn </w:t>
      </w:r>
      <w:r>
        <w:rPr>
          <w:lang w:eastAsia="de-DE"/>
        </w:rPr>
        <w:t xml:space="preserve">an der Verarbeitung hinsichtlich der Automatisierung von Entscheidungsfindungen </w:t>
      </w:r>
      <w:r w:rsidR="00311300">
        <w:rPr>
          <w:lang w:eastAsia="de-DE"/>
        </w:rPr>
        <w:t xml:space="preserve">Veränderungen </w:t>
      </w:r>
      <w:r>
        <w:rPr>
          <w:lang w:eastAsia="de-DE"/>
        </w:rPr>
        <w:t>vorgenommen werden.</w:t>
      </w:r>
    </w:p>
    <w:p w:rsidR="00F10DDE" w:rsidRDefault="00F10DDE">
      <w:pPr>
        <w:rPr>
          <w:rFonts w:asciiTheme="majorHAnsi" w:eastAsiaTheme="majorEastAsia" w:hAnsiTheme="majorHAnsi" w:cstheme="majorBidi"/>
          <w:color w:val="1F3763" w:themeColor="accent1" w:themeShade="7F"/>
          <w:sz w:val="24"/>
          <w:szCs w:val="24"/>
          <w:lang w:eastAsia="de-DE"/>
        </w:rPr>
      </w:pPr>
      <w:r>
        <w:rPr>
          <w:lang w:eastAsia="de-DE"/>
        </w:rPr>
        <w:br w:type="page"/>
      </w:r>
    </w:p>
    <w:p w:rsidR="000E7201" w:rsidRDefault="000E7201" w:rsidP="000E7201">
      <w:pPr>
        <w:pStyle w:val="berschrift3"/>
        <w:rPr>
          <w:lang w:eastAsia="de-DE"/>
        </w:rPr>
      </w:pPr>
      <w:r>
        <w:rPr>
          <w:lang w:eastAsia="de-DE"/>
        </w:rPr>
        <w:t>Kurzbeschreibung</w:t>
      </w:r>
      <w:r w:rsidR="005C6B62">
        <w:rPr>
          <w:lang w:eastAsia="de-DE"/>
        </w:rPr>
        <w:t xml:space="preserve"> der Verarbeitung</w:t>
      </w:r>
    </w:p>
    <w:p w:rsidR="008B4D6C" w:rsidRPr="002261DC" w:rsidRDefault="008B4D6C" w:rsidP="002261DC">
      <w:pPr>
        <w:spacing w:after="0"/>
        <w:rPr>
          <w:sz w:val="20"/>
          <w:lang w:eastAsia="de-DE"/>
        </w:rPr>
      </w:pPr>
      <w:r w:rsidRPr="002261DC">
        <w:rPr>
          <w:sz w:val="20"/>
          <w:lang w:eastAsia="de-DE"/>
        </w:rPr>
        <w:t>Verantwortliche(r):</w:t>
      </w:r>
    </w:p>
    <w:tbl>
      <w:tblPr>
        <w:tblStyle w:val="Tabellenraster"/>
        <w:tblW w:w="0" w:type="auto"/>
        <w:tblLook w:val="04A0" w:firstRow="1" w:lastRow="0" w:firstColumn="1" w:lastColumn="0" w:noHBand="0" w:noVBand="1"/>
      </w:tblPr>
      <w:tblGrid>
        <w:gridCol w:w="9062"/>
      </w:tblGrid>
      <w:tr w:rsidR="002261DC" w:rsidTr="002261DC">
        <w:tc>
          <w:tcPr>
            <w:tcW w:w="9062" w:type="dxa"/>
          </w:tcPr>
          <w:p w:rsidR="002261DC" w:rsidRDefault="002261DC" w:rsidP="002261DC">
            <w:pPr>
              <w:rPr>
                <w:sz w:val="20"/>
                <w:lang w:eastAsia="de-DE"/>
              </w:rPr>
            </w:pPr>
          </w:p>
        </w:tc>
      </w:tr>
    </w:tbl>
    <w:p w:rsidR="001879E2" w:rsidRPr="002261DC" w:rsidRDefault="001879E2" w:rsidP="001879E2">
      <w:pPr>
        <w:spacing w:after="0"/>
        <w:rPr>
          <w:sz w:val="20"/>
          <w:lang w:eastAsia="de-DE"/>
        </w:rPr>
      </w:pPr>
      <w:r>
        <w:rPr>
          <w:sz w:val="20"/>
          <w:lang w:eastAsia="de-DE"/>
        </w:rPr>
        <w:t>Ausfüllende</w:t>
      </w:r>
      <w:r w:rsidR="00C033C0">
        <w:rPr>
          <w:sz w:val="20"/>
          <w:lang w:eastAsia="de-DE"/>
        </w:rPr>
        <w:t>(</w:t>
      </w:r>
      <w:r>
        <w:rPr>
          <w:sz w:val="20"/>
          <w:lang w:eastAsia="de-DE"/>
        </w:rPr>
        <w:t>r</w:t>
      </w:r>
      <w:r w:rsidR="00C033C0">
        <w:rPr>
          <w:sz w:val="20"/>
          <w:lang w:eastAsia="de-DE"/>
        </w:rPr>
        <w:t>)</w:t>
      </w:r>
      <w:r>
        <w:rPr>
          <w:sz w:val="20"/>
          <w:lang w:eastAsia="de-DE"/>
        </w:rPr>
        <w:t xml:space="preserve"> des Prüfschemas (sofern abweichend</w:t>
      </w:r>
      <w:r w:rsidRPr="002261DC">
        <w:rPr>
          <w:sz w:val="20"/>
          <w:lang w:eastAsia="de-DE"/>
        </w:rPr>
        <w:t>):</w:t>
      </w:r>
    </w:p>
    <w:tbl>
      <w:tblPr>
        <w:tblStyle w:val="Tabellenraster"/>
        <w:tblW w:w="0" w:type="auto"/>
        <w:tblLook w:val="04A0" w:firstRow="1" w:lastRow="0" w:firstColumn="1" w:lastColumn="0" w:noHBand="0" w:noVBand="1"/>
      </w:tblPr>
      <w:tblGrid>
        <w:gridCol w:w="9062"/>
      </w:tblGrid>
      <w:tr w:rsidR="001879E2" w:rsidTr="00DD7C86">
        <w:tc>
          <w:tcPr>
            <w:tcW w:w="9062" w:type="dxa"/>
          </w:tcPr>
          <w:p w:rsidR="001879E2" w:rsidRDefault="001879E2" w:rsidP="00DD7C86">
            <w:pPr>
              <w:rPr>
                <w:sz w:val="20"/>
                <w:lang w:eastAsia="de-DE"/>
              </w:rPr>
            </w:pPr>
          </w:p>
        </w:tc>
      </w:tr>
    </w:tbl>
    <w:p w:rsidR="001879E2" w:rsidRPr="002261DC" w:rsidRDefault="001879E2" w:rsidP="001879E2">
      <w:pPr>
        <w:spacing w:after="0"/>
        <w:rPr>
          <w:sz w:val="20"/>
          <w:lang w:eastAsia="de-DE"/>
        </w:rPr>
      </w:pPr>
    </w:p>
    <w:p w:rsidR="008B4D6C" w:rsidRDefault="00A72CB5" w:rsidP="002261DC">
      <w:pPr>
        <w:spacing w:after="0"/>
        <w:rPr>
          <w:sz w:val="20"/>
          <w:lang w:eastAsia="de-DE"/>
        </w:rPr>
      </w:pPr>
      <w:r>
        <w:rPr>
          <w:sz w:val="20"/>
          <w:lang w:eastAsia="de-DE"/>
        </w:rPr>
        <w:t xml:space="preserve">Bezeichnung der </w:t>
      </w:r>
      <w:r w:rsidR="008B4D6C" w:rsidRPr="002261DC">
        <w:rPr>
          <w:sz w:val="20"/>
          <w:lang w:eastAsia="de-DE"/>
        </w:rPr>
        <w:t>Verarbeitungstätigkeit:</w:t>
      </w:r>
    </w:p>
    <w:tbl>
      <w:tblPr>
        <w:tblStyle w:val="Tabellenraster"/>
        <w:tblW w:w="0" w:type="auto"/>
        <w:tblLook w:val="04A0" w:firstRow="1" w:lastRow="0" w:firstColumn="1" w:lastColumn="0" w:noHBand="0" w:noVBand="1"/>
      </w:tblPr>
      <w:tblGrid>
        <w:gridCol w:w="9062"/>
      </w:tblGrid>
      <w:tr w:rsidR="002261DC" w:rsidTr="002261DC">
        <w:tc>
          <w:tcPr>
            <w:tcW w:w="9062" w:type="dxa"/>
          </w:tcPr>
          <w:p w:rsidR="002261DC" w:rsidRDefault="002261DC" w:rsidP="002261DC">
            <w:pPr>
              <w:rPr>
                <w:sz w:val="20"/>
                <w:lang w:eastAsia="de-DE"/>
              </w:rPr>
            </w:pPr>
          </w:p>
          <w:p w:rsidR="002261DC" w:rsidRDefault="002261DC" w:rsidP="002261DC">
            <w:pPr>
              <w:rPr>
                <w:sz w:val="20"/>
                <w:lang w:eastAsia="de-DE"/>
              </w:rPr>
            </w:pPr>
          </w:p>
        </w:tc>
      </w:tr>
    </w:tbl>
    <w:p w:rsidR="002261DC" w:rsidRPr="002261DC" w:rsidRDefault="002261DC" w:rsidP="002261DC">
      <w:pPr>
        <w:spacing w:after="0"/>
        <w:rPr>
          <w:sz w:val="20"/>
          <w:lang w:eastAsia="de-DE"/>
        </w:rPr>
      </w:pPr>
    </w:p>
    <w:p w:rsidR="008B4D6C" w:rsidRPr="002261DC" w:rsidRDefault="002261DC" w:rsidP="002261DC">
      <w:pPr>
        <w:spacing w:after="0"/>
        <w:rPr>
          <w:sz w:val="20"/>
          <w:lang w:eastAsia="de-DE"/>
        </w:rPr>
      </w:pPr>
      <w:r w:rsidRPr="002261DC">
        <w:rPr>
          <w:sz w:val="20"/>
          <w:lang w:eastAsia="de-DE"/>
        </w:rPr>
        <w:t>Erläutern Sie kurz, um welche</w:t>
      </w:r>
      <w:r>
        <w:rPr>
          <w:sz w:val="20"/>
          <w:lang w:eastAsia="de-DE"/>
        </w:rPr>
        <w:t xml:space="preserve"> </w:t>
      </w:r>
      <w:r w:rsidRPr="002261DC">
        <w:rPr>
          <w:sz w:val="20"/>
          <w:lang w:eastAsia="de-DE"/>
        </w:rPr>
        <w:t>Entscheidungsfindung</w:t>
      </w:r>
      <w:r>
        <w:rPr>
          <w:sz w:val="20"/>
          <w:lang w:eastAsia="de-DE"/>
        </w:rPr>
        <w:t xml:space="preserve"> es geht</w:t>
      </w:r>
      <w:r w:rsidR="008B4D6C" w:rsidRPr="002261DC">
        <w:rPr>
          <w:sz w:val="20"/>
          <w:lang w:eastAsia="de-DE"/>
        </w:rPr>
        <w:t>:</w:t>
      </w:r>
    </w:p>
    <w:tbl>
      <w:tblPr>
        <w:tblStyle w:val="Tabellenraster"/>
        <w:tblW w:w="0" w:type="auto"/>
        <w:tblLook w:val="04A0" w:firstRow="1" w:lastRow="0" w:firstColumn="1" w:lastColumn="0" w:noHBand="0" w:noVBand="1"/>
      </w:tblPr>
      <w:tblGrid>
        <w:gridCol w:w="9062"/>
      </w:tblGrid>
      <w:tr w:rsidR="002261DC" w:rsidTr="002261DC">
        <w:tc>
          <w:tcPr>
            <w:tcW w:w="9062" w:type="dxa"/>
          </w:tcPr>
          <w:p w:rsidR="002261DC" w:rsidRDefault="002261DC" w:rsidP="002261DC">
            <w:pPr>
              <w:rPr>
                <w:sz w:val="20"/>
                <w:lang w:eastAsia="de-DE"/>
              </w:rPr>
            </w:pPr>
          </w:p>
          <w:p w:rsidR="002261DC" w:rsidRDefault="002261DC" w:rsidP="002261DC">
            <w:pPr>
              <w:rPr>
                <w:sz w:val="20"/>
                <w:lang w:eastAsia="de-DE"/>
              </w:rPr>
            </w:pPr>
          </w:p>
          <w:p w:rsidR="002261DC" w:rsidRDefault="002261DC" w:rsidP="002261DC">
            <w:pPr>
              <w:rPr>
                <w:sz w:val="20"/>
                <w:lang w:eastAsia="de-DE"/>
              </w:rPr>
            </w:pPr>
          </w:p>
        </w:tc>
      </w:tr>
    </w:tbl>
    <w:p w:rsidR="000E7201" w:rsidRPr="002261DC" w:rsidRDefault="000E7201" w:rsidP="002261DC">
      <w:pPr>
        <w:spacing w:after="0"/>
        <w:rPr>
          <w:sz w:val="20"/>
          <w:lang w:eastAsia="de-DE"/>
        </w:rPr>
      </w:pPr>
    </w:p>
    <w:p w:rsidR="008B4D6C" w:rsidRDefault="008B4D6C" w:rsidP="002261DC">
      <w:pPr>
        <w:spacing w:after="0"/>
        <w:rPr>
          <w:sz w:val="20"/>
          <w:lang w:eastAsia="de-DE"/>
        </w:rPr>
      </w:pPr>
      <w:r w:rsidRPr="002261DC">
        <w:rPr>
          <w:sz w:val="20"/>
          <w:lang w:eastAsia="de-DE"/>
        </w:rPr>
        <w:t>Betroffene</w:t>
      </w:r>
      <w:r w:rsidR="00C033C0">
        <w:rPr>
          <w:sz w:val="20"/>
          <w:lang w:eastAsia="de-DE"/>
        </w:rPr>
        <w:t xml:space="preserve"> der </w:t>
      </w:r>
      <w:r w:rsidR="00C033C0" w:rsidRPr="002261DC">
        <w:rPr>
          <w:sz w:val="20"/>
          <w:lang w:eastAsia="de-DE"/>
        </w:rPr>
        <w:t>Entscheidungsfindung</w:t>
      </w:r>
      <w:r w:rsidRPr="002261DC">
        <w:rPr>
          <w:sz w:val="20"/>
          <w:lang w:eastAsia="de-DE"/>
        </w:rPr>
        <w:t>:</w:t>
      </w:r>
    </w:p>
    <w:tbl>
      <w:tblPr>
        <w:tblStyle w:val="Tabellenraster"/>
        <w:tblW w:w="0" w:type="auto"/>
        <w:tblLook w:val="04A0" w:firstRow="1" w:lastRow="0" w:firstColumn="1" w:lastColumn="0" w:noHBand="0" w:noVBand="1"/>
      </w:tblPr>
      <w:tblGrid>
        <w:gridCol w:w="9062"/>
      </w:tblGrid>
      <w:tr w:rsidR="002261DC" w:rsidTr="002261DC">
        <w:tc>
          <w:tcPr>
            <w:tcW w:w="9062" w:type="dxa"/>
          </w:tcPr>
          <w:p w:rsidR="002261DC" w:rsidRDefault="002261DC" w:rsidP="002261DC">
            <w:pPr>
              <w:rPr>
                <w:sz w:val="20"/>
                <w:lang w:eastAsia="de-DE"/>
              </w:rPr>
            </w:pPr>
          </w:p>
        </w:tc>
      </w:tr>
    </w:tbl>
    <w:p w:rsidR="002261DC" w:rsidRPr="002261DC" w:rsidRDefault="002261DC" w:rsidP="002261DC">
      <w:pPr>
        <w:spacing w:after="0"/>
        <w:rPr>
          <w:sz w:val="20"/>
          <w:lang w:eastAsia="de-DE"/>
        </w:rPr>
      </w:pPr>
    </w:p>
    <w:p w:rsidR="008B4D6C" w:rsidRDefault="002261DC" w:rsidP="002261DC">
      <w:pPr>
        <w:spacing w:after="0"/>
        <w:rPr>
          <w:sz w:val="20"/>
          <w:lang w:eastAsia="de-DE"/>
        </w:rPr>
      </w:pPr>
      <w:r>
        <w:rPr>
          <w:sz w:val="20"/>
          <w:lang w:eastAsia="de-DE"/>
        </w:rPr>
        <w:t xml:space="preserve">Mögliche negative Folgen und </w:t>
      </w:r>
      <w:r w:rsidR="008B4D6C" w:rsidRPr="002261DC">
        <w:rPr>
          <w:sz w:val="20"/>
          <w:lang w:eastAsia="de-DE"/>
        </w:rPr>
        <w:t xml:space="preserve">Risiken für die Betroffenen durch </w:t>
      </w:r>
      <w:r w:rsidR="00C033C0">
        <w:rPr>
          <w:sz w:val="20"/>
          <w:lang w:eastAsia="de-DE"/>
        </w:rPr>
        <w:t>getroffene Entscheidungen</w:t>
      </w:r>
      <w:r w:rsidR="008B4D6C" w:rsidRPr="002261DC">
        <w:rPr>
          <w:sz w:val="20"/>
          <w:lang w:eastAsia="de-DE"/>
        </w:rPr>
        <w:t>:</w:t>
      </w:r>
    </w:p>
    <w:tbl>
      <w:tblPr>
        <w:tblStyle w:val="Tabellenraster"/>
        <w:tblW w:w="0" w:type="auto"/>
        <w:tblLook w:val="04A0" w:firstRow="1" w:lastRow="0" w:firstColumn="1" w:lastColumn="0" w:noHBand="0" w:noVBand="1"/>
      </w:tblPr>
      <w:tblGrid>
        <w:gridCol w:w="9062"/>
      </w:tblGrid>
      <w:tr w:rsidR="002261DC" w:rsidTr="001F03AF">
        <w:trPr>
          <w:trHeight w:val="1283"/>
        </w:trPr>
        <w:tc>
          <w:tcPr>
            <w:tcW w:w="9062" w:type="dxa"/>
          </w:tcPr>
          <w:p w:rsidR="002261DC" w:rsidRDefault="002261DC" w:rsidP="002261DC">
            <w:pPr>
              <w:rPr>
                <w:sz w:val="20"/>
                <w:lang w:eastAsia="de-DE"/>
              </w:rPr>
            </w:pPr>
          </w:p>
          <w:p w:rsidR="002261DC" w:rsidRDefault="002261DC" w:rsidP="002261DC">
            <w:pPr>
              <w:rPr>
                <w:sz w:val="20"/>
                <w:lang w:eastAsia="de-DE"/>
              </w:rPr>
            </w:pPr>
          </w:p>
          <w:p w:rsidR="002261DC" w:rsidRDefault="002261DC" w:rsidP="002261DC">
            <w:pPr>
              <w:rPr>
                <w:sz w:val="20"/>
                <w:lang w:eastAsia="de-DE"/>
              </w:rPr>
            </w:pPr>
          </w:p>
        </w:tc>
      </w:tr>
    </w:tbl>
    <w:p w:rsidR="002261DC" w:rsidRDefault="002261DC" w:rsidP="002261DC">
      <w:pPr>
        <w:spacing w:after="0"/>
        <w:rPr>
          <w:sz w:val="20"/>
          <w:lang w:eastAsia="de-DE"/>
        </w:rPr>
      </w:pPr>
    </w:p>
    <w:p w:rsidR="00A72CB5" w:rsidRPr="002261DC" w:rsidRDefault="00A72CB5" w:rsidP="002261DC">
      <w:pPr>
        <w:spacing w:after="0"/>
        <w:rPr>
          <w:sz w:val="20"/>
          <w:lang w:eastAsia="de-DE"/>
        </w:rPr>
      </w:pPr>
      <w:r>
        <w:rPr>
          <w:sz w:val="20"/>
          <w:lang w:eastAsia="de-DE"/>
        </w:rPr>
        <w:t>Zusätzliche Dokumentationen/Unterlagen können bei Bedarf als Anlagen beigefügt werden.</w:t>
      </w:r>
    </w:p>
    <w:p w:rsidR="008B4D6C" w:rsidRDefault="000E7201" w:rsidP="000E7201">
      <w:pPr>
        <w:pStyle w:val="berschrift2"/>
        <w:rPr>
          <w:lang w:eastAsia="de-DE"/>
        </w:rPr>
      </w:pPr>
      <w:r>
        <w:rPr>
          <w:lang w:eastAsia="de-DE"/>
        </w:rPr>
        <w:t>Prüfschritte</w:t>
      </w:r>
    </w:p>
    <w:p w:rsidR="009C6EE6" w:rsidRPr="001879E2" w:rsidRDefault="009C6EE6" w:rsidP="001F03AF">
      <w:pPr>
        <w:rPr>
          <w:lang w:eastAsia="de-DE"/>
        </w:rPr>
      </w:pPr>
      <w:r w:rsidRPr="001879E2">
        <w:rPr>
          <w:lang w:eastAsia="de-DE"/>
        </w:rPr>
        <w:t xml:space="preserve">Geben Sie bei jedem Prüfschritt eine kurze Begründung </w:t>
      </w:r>
      <w:r w:rsidR="008B4D6C" w:rsidRPr="001879E2">
        <w:rPr>
          <w:lang w:eastAsia="de-DE"/>
        </w:rPr>
        <w:t xml:space="preserve">Ihrer Antwort </w:t>
      </w:r>
      <w:r w:rsidRPr="001879E2">
        <w:rPr>
          <w:lang w:eastAsia="de-DE"/>
        </w:rPr>
        <w:t>an</w:t>
      </w:r>
      <w:r w:rsidR="003E3A51" w:rsidRPr="001879E2">
        <w:rPr>
          <w:lang w:eastAsia="de-DE"/>
        </w:rPr>
        <w:t>. F</w:t>
      </w:r>
      <w:r w:rsidR="008B4D6C" w:rsidRPr="001879E2">
        <w:rPr>
          <w:lang w:eastAsia="de-DE"/>
        </w:rPr>
        <w:t xml:space="preserve">alls Klärungsbedarf besteht, </w:t>
      </w:r>
      <w:r w:rsidR="003E3A51" w:rsidRPr="001879E2">
        <w:rPr>
          <w:lang w:eastAsia="de-DE"/>
        </w:rPr>
        <w:t>erwähnen</w:t>
      </w:r>
      <w:r w:rsidR="00C033C0">
        <w:rPr>
          <w:lang w:eastAsia="de-DE"/>
        </w:rPr>
        <w:t xml:space="preserve"> Sie bitte</w:t>
      </w:r>
      <w:r w:rsidR="003E3A51" w:rsidRPr="001879E2">
        <w:rPr>
          <w:lang w:eastAsia="de-DE"/>
        </w:rPr>
        <w:t xml:space="preserve">, </w:t>
      </w:r>
      <w:r w:rsidR="008B4D6C" w:rsidRPr="001879E2">
        <w:rPr>
          <w:lang w:eastAsia="de-DE"/>
        </w:rPr>
        <w:t>w</w:t>
      </w:r>
      <w:r w:rsidR="00C033C0">
        <w:rPr>
          <w:lang w:eastAsia="de-DE"/>
        </w:rPr>
        <w:t>elche Punkte</w:t>
      </w:r>
      <w:r w:rsidR="008B4D6C" w:rsidRPr="001879E2">
        <w:rPr>
          <w:lang w:eastAsia="de-DE"/>
        </w:rPr>
        <w:t xml:space="preserve"> noch offen </w:t>
      </w:r>
      <w:r w:rsidR="00C033C0">
        <w:rPr>
          <w:lang w:eastAsia="de-DE"/>
        </w:rPr>
        <w:t>sind</w:t>
      </w:r>
      <w:r w:rsidRPr="001879E2">
        <w:rPr>
          <w:lang w:eastAsia="de-DE"/>
        </w:rPr>
        <w:t>.</w:t>
      </w:r>
      <w:r w:rsidR="00A72CB5">
        <w:rPr>
          <w:lang w:eastAsia="de-DE"/>
        </w:rPr>
        <w:t xml:space="preserve"> Im Anhang finden sich Auszüge der relevanten Abschnitte der DSGVO.</w:t>
      </w:r>
    </w:p>
    <w:p w:rsidR="009C6EE6" w:rsidRDefault="009C6EE6" w:rsidP="008B4D6C">
      <w:pPr>
        <w:pStyle w:val="berschrift3"/>
        <w:rPr>
          <w:lang w:eastAsia="de-DE"/>
        </w:rPr>
      </w:pPr>
      <w:r>
        <w:rPr>
          <w:lang w:eastAsia="de-DE"/>
        </w:rPr>
        <w:t>Prüfschritt 1</w:t>
      </w:r>
      <w:r w:rsidR="00742B2D">
        <w:rPr>
          <w:lang w:eastAsia="de-DE"/>
        </w:rPr>
        <w:t xml:space="preserve">: </w:t>
      </w:r>
      <w:r w:rsidR="00C50ACE" w:rsidRPr="00C50ACE">
        <w:rPr>
          <w:lang w:eastAsia="de-DE"/>
        </w:rPr>
        <w:t>Fällt die Verarbeitung unter die DSGVO?</w:t>
      </w:r>
      <w:r w:rsidR="00A72335">
        <w:rPr>
          <w:lang w:eastAsia="de-DE"/>
        </w:rPr>
        <w:t xml:space="preserve"> </w:t>
      </w:r>
      <w:r w:rsidR="000E7201">
        <w:rPr>
          <w:lang w:eastAsia="de-DE"/>
        </w:rPr>
        <w:t xml:space="preserve">- Art. 2, insb. Art. 2 (2) </w:t>
      </w:r>
      <w:r w:rsidR="00C50ACE">
        <w:rPr>
          <w:lang w:eastAsia="de-DE"/>
        </w:rPr>
        <w:t>&amp; Art. 3</w:t>
      </w:r>
      <w:r w:rsidR="00E15415">
        <w:rPr>
          <w:lang w:eastAsia="de-DE"/>
        </w:rPr>
        <w:t xml:space="preserve"> (1)-(2)</w:t>
      </w:r>
    </w:p>
    <w:p w:rsidR="00311300" w:rsidRPr="001F03AF" w:rsidRDefault="000E7201" w:rsidP="009C6EE6">
      <w:pPr>
        <w:rPr>
          <w:lang w:eastAsia="de-DE"/>
        </w:rPr>
      </w:pPr>
      <w:r w:rsidRPr="001F03AF">
        <w:rPr>
          <w:lang w:eastAsia="de-DE"/>
        </w:rPr>
        <w:t>Die Verarbeitungstätigkeit i</w:t>
      </w:r>
      <w:r w:rsidR="009C6EE6" w:rsidRPr="001F03AF">
        <w:rPr>
          <w:lang w:eastAsia="de-DE"/>
        </w:rPr>
        <w:t xml:space="preserve">st </w:t>
      </w:r>
      <w:r w:rsidR="009C6EE6" w:rsidRPr="001F03AF">
        <w:rPr>
          <w:b/>
          <w:lang w:eastAsia="de-DE"/>
        </w:rPr>
        <w:t xml:space="preserve">im </w:t>
      </w:r>
      <w:r w:rsidR="00E15415" w:rsidRPr="001F03AF">
        <w:rPr>
          <w:b/>
          <w:lang w:eastAsia="de-DE"/>
        </w:rPr>
        <w:t xml:space="preserve">sachlichen und räumlichen </w:t>
      </w:r>
      <w:r w:rsidR="009C6EE6" w:rsidRPr="001F03AF">
        <w:rPr>
          <w:b/>
          <w:lang w:eastAsia="de-DE"/>
        </w:rPr>
        <w:t>Anwendungsbereich der DSGVO</w:t>
      </w:r>
      <w:r w:rsidR="009C6EE6" w:rsidRPr="001F03AF">
        <w:rPr>
          <w:lang w:eastAsia="de-DE"/>
        </w:rPr>
        <w:t xml:space="preserve"> </w:t>
      </w:r>
      <w:r w:rsidR="009C6EE6" w:rsidRPr="001F03AF">
        <w:rPr>
          <w:b/>
          <w:lang w:eastAsia="de-DE"/>
        </w:rPr>
        <w:t>und kein gesetzlich geregelter Ausnahmetatbestand</w:t>
      </w:r>
      <w:r w:rsidR="008B4D6C" w:rsidRPr="001F03AF">
        <w:rPr>
          <w:lang w:eastAsia="de-DE"/>
        </w:rPr>
        <w:t>?</w:t>
      </w:r>
    </w:p>
    <w:p w:rsidR="00A72335" w:rsidRDefault="00311300" w:rsidP="00F6134F">
      <w:pPr>
        <w:pStyle w:val="HINWEISTEXT"/>
        <w:rPr>
          <w:iCs/>
        </w:rPr>
      </w:pPr>
      <w:r>
        <w:t xml:space="preserve">Hinweis: </w:t>
      </w:r>
      <w:r w:rsidR="00A72335" w:rsidRPr="00A72335">
        <w:rPr>
          <w:iCs/>
        </w:rPr>
        <w:t>Handelt es sich um eine Verarbeitung personenbezogener Daten durch einen Verantwortlichen innerhalb der EU bzw. von Personen, die sich in der EU aufhalten?</w:t>
      </w:r>
    </w:p>
    <w:p w:rsidR="00A72335" w:rsidRDefault="00A72335" w:rsidP="00F6134F">
      <w:pPr>
        <w:pStyle w:val="HINWEISTEXT"/>
        <w:rPr>
          <w:iCs/>
        </w:rPr>
      </w:pPr>
      <w:r>
        <w:rPr>
          <w:iCs/>
        </w:rPr>
        <w:t xml:space="preserve">Trifft keine der in </w:t>
      </w:r>
      <w:r>
        <w:t xml:space="preserve">Art. 2 (2) </w:t>
      </w:r>
      <w:r>
        <w:rPr>
          <w:iCs/>
        </w:rPr>
        <w:t xml:space="preserve">aufgeführten Ausnahmen zu? </w:t>
      </w:r>
    </w:p>
    <w:p w:rsidR="00A72335" w:rsidRDefault="00A72335" w:rsidP="001F03AF">
      <w:pPr>
        <w:pStyle w:val="HINWEISTEXT"/>
        <w:numPr>
          <w:ilvl w:val="0"/>
          <w:numId w:val="21"/>
        </w:numPr>
        <w:rPr>
          <w:iCs/>
        </w:rPr>
      </w:pPr>
      <w:r>
        <w:t>Landesverteidigung und Geheimdienste</w:t>
      </w:r>
      <w:r>
        <w:t xml:space="preserve"> sind national geregelt (kein Unionsrecht entspr. </w:t>
      </w:r>
      <w:r w:rsidRPr="00311300">
        <w:t xml:space="preserve">Art. </w:t>
      </w:r>
      <w:r>
        <w:t xml:space="preserve">2 </w:t>
      </w:r>
      <w:proofErr w:type="spellStart"/>
      <w:r>
        <w:t>lit</w:t>
      </w:r>
      <w:proofErr w:type="spellEnd"/>
      <w:r>
        <w:t xml:space="preserve"> </w:t>
      </w:r>
      <w:r>
        <w:t>a</w:t>
      </w:r>
      <w:r>
        <w:t xml:space="preserve"> DSGVO</w:t>
      </w:r>
      <w:r>
        <w:t>)</w:t>
      </w:r>
      <w:r>
        <w:t xml:space="preserve"> </w:t>
      </w:r>
    </w:p>
    <w:p w:rsidR="009C6EE6" w:rsidRPr="00311300" w:rsidRDefault="00A72335" w:rsidP="001F03AF">
      <w:pPr>
        <w:pStyle w:val="HINWEISTEXT"/>
        <w:numPr>
          <w:ilvl w:val="0"/>
          <w:numId w:val="21"/>
        </w:numPr>
      </w:pPr>
      <w:r>
        <w:t>Strafverfolgung</w:t>
      </w:r>
      <w:r w:rsidRPr="00C50ACE">
        <w:t xml:space="preserve"> </w:t>
      </w:r>
      <w:r w:rsidRPr="00311300">
        <w:t>und</w:t>
      </w:r>
      <w:r>
        <w:t xml:space="preserve"> öffentliche </w:t>
      </w:r>
      <w:r w:rsidRPr="00311300">
        <w:t xml:space="preserve">Sicherheit </w:t>
      </w:r>
      <w:r>
        <w:t xml:space="preserve">sind </w:t>
      </w:r>
      <w:r w:rsidR="00311300">
        <w:t xml:space="preserve">Ausnahmen nach </w:t>
      </w:r>
      <w:r w:rsidR="00311300" w:rsidRPr="00311300">
        <w:t xml:space="preserve">Art. </w:t>
      </w:r>
      <w:r w:rsidR="00E13AFA">
        <w:t xml:space="preserve">2 </w:t>
      </w:r>
      <w:proofErr w:type="spellStart"/>
      <w:r>
        <w:t>lit</w:t>
      </w:r>
      <w:proofErr w:type="spellEnd"/>
      <w:r>
        <w:t xml:space="preserve"> d </w:t>
      </w:r>
      <w:r w:rsidR="00E13AFA">
        <w:t>DSGVO</w:t>
      </w:r>
      <w:r w:rsidR="00311300">
        <w:t xml:space="preserve"> </w:t>
      </w:r>
    </w:p>
    <w:p w:rsidR="009C6EE6" w:rsidRPr="001879E2" w:rsidRDefault="009C6EE6" w:rsidP="009C6EE6">
      <w:pPr>
        <w:rPr>
          <w:b/>
          <w:sz w:val="24"/>
          <w:lang w:eastAsia="de-DE"/>
        </w:rPr>
      </w:pPr>
      <w:r w:rsidRPr="001879E2">
        <w:rPr>
          <w:b/>
          <w:sz w:val="24"/>
          <w:lang w:eastAsia="de-DE"/>
        </w:rPr>
        <w:t xml:space="preserve">Zutreffend? JA </w:t>
      </w:r>
      <w:proofErr w:type="gramStart"/>
      <w:r w:rsidRPr="001879E2">
        <w:rPr>
          <w:b/>
          <w:sz w:val="24"/>
          <w:lang w:eastAsia="de-DE"/>
        </w:rPr>
        <w:t>[  ]</w:t>
      </w:r>
      <w:proofErr w:type="gramEnd"/>
      <w:r w:rsidRPr="001879E2">
        <w:rPr>
          <w:b/>
          <w:sz w:val="24"/>
          <w:lang w:eastAsia="de-DE"/>
        </w:rPr>
        <w:t xml:space="preserve"> / NEIN [  ] / Klärungsbedarf [  ]</w:t>
      </w:r>
    </w:p>
    <w:p w:rsidR="00C91898" w:rsidRPr="00C91898" w:rsidRDefault="00C91898" w:rsidP="00C91898">
      <w:pPr>
        <w:spacing w:after="0"/>
        <w:rPr>
          <w:sz w:val="20"/>
          <w:lang w:eastAsia="de-DE"/>
        </w:rPr>
      </w:pPr>
      <w:r w:rsidRPr="00C91898">
        <w:rPr>
          <w:sz w:val="20"/>
          <w:lang w:eastAsia="de-DE"/>
        </w:rPr>
        <w:t>Begründung Ihrer Antwort:</w:t>
      </w:r>
    </w:p>
    <w:tbl>
      <w:tblPr>
        <w:tblStyle w:val="Tabellenraster"/>
        <w:tblW w:w="0" w:type="auto"/>
        <w:tblLook w:val="04A0" w:firstRow="1" w:lastRow="0" w:firstColumn="1" w:lastColumn="0" w:noHBand="0" w:noVBand="1"/>
      </w:tblPr>
      <w:tblGrid>
        <w:gridCol w:w="9062"/>
      </w:tblGrid>
      <w:tr w:rsidR="00C91898" w:rsidTr="00DD7C86">
        <w:tc>
          <w:tcPr>
            <w:tcW w:w="9062" w:type="dxa"/>
          </w:tcPr>
          <w:p w:rsidR="00C91898" w:rsidRDefault="00C91898" w:rsidP="00DD7C86">
            <w:pPr>
              <w:rPr>
                <w:lang w:eastAsia="de-DE"/>
              </w:rPr>
            </w:pPr>
          </w:p>
          <w:p w:rsidR="00C91898" w:rsidRDefault="00C91898" w:rsidP="00DD7C86">
            <w:pPr>
              <w:rPr>
                <w:lang w:eastAsia="de-DE"/>
              </w:rPr>
            </w:pPr>
          </w:p>
          <w:p w:rsidR="00C91898" w:rsidRDefault="00C91898" w:rsidP="00DD7C86">
            <w:pPr>
              <w:rPr>
                <w:lang w:eastAsia="de-DE"/>
              </w:rPr>
            </w:pPr>
          </w:p>
          <w:p w:rsidR="00C91898" w:rsidRDefault="00C91898" w:rsidP="00DD7C86">
            <w:pPr>
              <w:rPr>
                <w:lang w:eastAsia="de-DE"/>
              </w:rPr>
            </w:pPr>
          </w:p>
          <w:p w:rsidR="00C91898" w:rsidRDefault="00C91898" w:rsidP="00DD7C86">
            <w:pPr>
              <w:rPr>
                <w:lang w:eastAsia="de-DE"/>
              </w:rPr>
            </w:pPr>
          </w:p>
        </w:tc>
      </w:tr>
    </w:tbl>
    <w:p w:rsidR="001879E2" w:rsidRDefault="001879E2" w:rsidP="008B4D6C">
      <w:pPr>
        <w:pStyle w:val="berschrift3"/>
        <w:rPr>
          <w:lang w:eastAsia="de-DE"/>
        </w:rPr>
      </w:pPr>
    </w:p>
    <w:p w:rsidR="008B4D6C" w:rsidRDefault="008B4D6C" w:rsidP="008B4D6C">
      <w:pPr>
        <w:pStyle w:val="berschrift3"/>
        <w:rPr>
          <w:lang w:eastAsia="de-DE"/>
        </w:rPr>
      </w:pPr>
      <w:r>
        <w:rPr>
          <w:lang w:eastAsia="de-DE"/>
        </w:rPr>
        <w:t>Prüfschritt 2</w:t>
      </w:r>
      <w:r w:rsidR="00742B2D">
        <w:rPr>
          <w:lang w:eastAsia="de-DE"/>
        </w:rPr>
        <w:t xml:space="preserve">: </w:t>
      </w:r>
      <w:r>
        <w:rPr>
          <w:lang w:eastAsia="de-DE"/>
        </w:rPr>
        <w:t>Wirkung der Entscheidungsfindung</w:t>
      </w:r>
      <w:r w:rsidR="000E7201" w:rsidRPr="000E7201">
        <w:rPr>
          <w:lang w:eastAsia="de-DE"/>
        </w:rPr>
        <w:t xml:space="preserve"> </w:t>
      </w:r>
      <w:r w:rsidR="000E7201">
        <w:rPr>
          <w:lang w:eastAsia="de-DE"/>
        </w:rPr>
        <w:t>- Art. 22 (1)</w:t>
      </w:r>
    </w:p>
    <w:p w:rsidR="009C6EE6" w:rsidRPr="001F03AF" w:rsidRDefault="009C6EE6" w:rsidP="009C6EE6">
      <w:pPr>
        <w:rPr>
          <w:szCs w:val="24"/>
          <w:lang w:eastAsia="de-DE"/>
        </w:rPr>
      </w:pPr>
      <w:r w:rsidRPr="001F03AF">
        <w:rPr>
          <w:szCs w:val="24"/>
          <w:lang w:eastAsia="de-DE"/>
        </w:rPr>
        <w:t xml:space="preserve">Entfaltet die Verarbeitung gegenüber der betroffenen Person </w:t>
      </w:r>
      <w:r w:rsidRPr="001F03AF">
        <w:rPr>
          <w:b/>
          <w:szCs w:val="24"/>
          <w:lang w:eastAsia="de-DE"/>
        </w:rPr>
        <w:t>rechtliche Wirkung</w:t>
      </w:r>
      <w:r w:rsidRPr="001F03AF">
        <w:rPr>
          <w:szCs w:val="24"/>
          <w:lang w:eastAsia="de-DE"/>
        </w:rPr>
        <w:t xml:space="preserve"> </w:t>
      </w:r>
      <w:r w:rsidRPr="001F03AF">
        <w:rPr>
          <w:b/>
          <w:szCs w:val="24"/>
          <w:lang w:eastAsia="de-DE"/>
        </w:rPr>
        <w:t xml:space="preserve">oder beeinträchtigt </w:t>
      </w:r>
      <w:r w:rsidR="000E7201" w:rsidRPr="001F03AF">
        <w:rPr>
          <w:b/>
          <w:szCs w:val="24"/>
          <w:lang w:eastAsia="de-DE"/>
        </w:rPr>
        <w:t>sie</w:t>
      </w:r>
      <w:r w:rsidR="00EA59A7" w:rsidRPr="001F03AF">
        <w:rPr>
          <w:b/>
          <w:szCs w:val="24"/>
          <w:lang w:eastAsia="de-DE"/>
        </w:rPr>
        <w:t xml:space="preserve"> sie</w:t>
      </w:r>
      <w:r w:rsidR="000E7201" w:rsidRPr="001F03AF">
        <w:rPr>
          <w:b/>
          <w:szCs w:val="24"/>
          <w:lang w:eastAsia="de-DE"/>
        </w:rPr>
        <w:t xml:space="preserve"> </w:t>
      </w:r>
      <w:r w:rsidRPr="001F03AF">
        <w:rPr>
          <w:b/>
          <w:szCs w:val="24"/>
          <w:lang w:eastAsia="de-DE"/>
        </w:rPr>
        <w:t>erheblich in ähnlicher Weise</w:t>
      </w:r>
      <w:r w:rsidRPr="001F03AF">
        <w:rPr>
          <w:szCs w:val="24"/>
          <w:lang w:eastAsia="de-DE"/>
        </w:rPr>
        <w:t>?</w:t>
      </w:r>
    </w:p>
    <w:p w:rsidR="00A72CB5" w:rsidRDefault="00E13AFA" w:rsidP="00F6134F">
      <w:pPr>
        <w:pStyle w:val="HINWEISTEXT"/>
        <w:rPr>
          <w:iCs/>
        </w:rPr>
      </w:pPr>
      <w:r>
        <w:t xml:space="preserve">Hinweis: </w:t>
      </w:r>
      <w:r w:rsidR="00A72CB5" w:rsidRPr="00A72CB5">
        <w:rPr>
          <w:iCs/>
        </w:rPr>
        <w:t>Handelt es sich um einen Rechtsakt einer Behörde, um eine Vertragsanbahnung oder ähnliches, z.B. ein</w:t>
      </w:r>
      <w:r w:rsidR="00A72CB5">
        <w:rPr>
          <w:iCs/>
        </w:rPr>
        <w:t>en</w:t>
      </w:r>
      <w:r w:rsidR="00A72CB5" w:rsidRPr="00A72CB5">
        <w:rPr>
          <w:iCs/>
        </w:rPr>
        <w:t xml:space="preserve"> Online-Shop, ein Bewerbungsverfahren oder wird eine SCHUFA-Auskunft verarbeitet?</w:t>
      </w:r>
    </w:p>
    <w:p w:rsidR="00E13AFA" w:rsidRPr="001879E2" w:rsidRDefault="00A72CB5" w:rsidP="00F6134F">
      <w:pPr>
        <w:pStyle w:val="HINWEISTEXT"/>
      </w:pPr>
      <w:r>
        <w:t>Falls keine erhebliche Beeinträchtigung i.S.v. Art. 22 (1) eingeschätzt wird, dieses konkret begründen.</w:t>
      </w:r>
      <w:r w:rsidRPr="00A72CB5" w:rsidDel="00A72CB5">
        <w:t xml:space="preserve"> </w:t>
      </w:r>
    </w:p>
    <w:p w:rsidR="000E7201" w:rsidRPr="001879E2" w:rsidRDefault="000E7201" w:rsidP="000E7201">
      <w:pPr>
        <w:rPr>
          <w:b/>
          <w:sz w:val="24"/>
          <w:szCs w:val="24"/>
          <w:lang w:eastAsia="de-DE"/>
        </w:rPr>
      </w:pPr>
      <w:r w:rsidRPr="001879E2">
        <w:rPr>
          <w:b/>
          <w:sz w:val="24"/>
          <w:szCs w:val="24"/>
          <w:lang w:eastAsia="de-DE"/>
        </w:rPr>
        <w:t xml:space="preserve">Zutreffend? JA </w:t>
      </w:r>
      <w:proofErr w:type="gramStart"/>
      <w:r w:rsidRPr="001879E2">
        <w:rPr>
          <w:b/>
          <w:sz w:val="24"/>
          <w:szCs w:val="24"/>
          <w:lang w:eastAsia="de-DE"/>
        </w:rPr>
        <w:t>[  ]</w:t>
      </w:r>
      <w:proofErr w:type="gramEnd"/>
      <w:r w:rsidRPr="001879E2">
        <w:rPr>
          <w:b/>
          <w:sz w:val="24"/>
          <w:szCs w:val="24"/>
          <w:lang w:eastAsia="de-DE"/>
        </w:rPr>
        <w:t xml:space="preserve"> / NEIN [  ] / Klärungsbedarf [  ]</w:t>
      </w:r>
    </w:p>
    <w:p w:rsidR="000E7201" w:rsidRPr="00C91898" w:rsidRDefault="000E7201" w:rsidP="00C91898">
      <w:pPr>
        <w:spacing w:after="0"/>
        <w:rPr>
          <w:sz w:val="20"/>
          <w:lang w:eastAsia="de-DE"/>
        </w:rPr>
      </w:pPr>
      <w:r w:rsidRPr="00C91898">
        <w:rPr>
          <w:sz w:val="20"/>
          <w:lang w:eastAsia="de-DE"/>
        </w:rPr>
        <w:t>Begründung Ihrer Antwort:</w:t>
      </w:r>
    </w:p>
    <w:tbl>
      <w:tblPr>
        <w:tblStyle w:val="Tabellenraster"/>
        <w:tblW w:w="0" w:type="auto"/>
        <w:tblLook w:val="04A0" w:firstRow="1" w:lastRow="0" w:firstColumn="1" w:lastColumn="0" w:noHBand="0" w:noVBand="1"/>
      </w:tblPr>
      <w:tblGrid>
        <w:gridCol w:w="9062"/>
      </w:tblGrid>
      <w:tr w:rsidR="00C91898" w:rsidTr="00C91898">
        <w:tc>
          <w:tcPr>
            <w:tcW w:w="9062" w:type="dxa"/>
          </w:tcPr>
          <w:p w:rsidR="00C91898" w:rsidRDefault="00C91898" w:rsidP="000E7201">
            <w:pPr>
              <w:rPr>
                <w:lang w:eastAsia="de-DE"/>
              </w:rPr>
            </w:pPr>
          </w:p>
          <w:p w:rsidR="00C91898" w:rsidRDefault="00C91898" w:rsidP="000E7201">
            <w:pPr>
              <w:rPr>
                <w:lang w:eastAsia="de-DE"/>
              </w:rPr>
            </w:pPr>
          </w:p>
          <w:p w:rsidR="00C91898" w:rsidRDefault="00C91898" w:rsidP="000E7201">
            <w:pPr>
              <w:rPr>
                <w:lang w:eastAsia="de-DE"/>
              </w:rPr>
            </w:pPr>
          </w:p>
          <w:p w:rsidR="00C91898" w:rsidRDefault="00C91898" w:rsidP="000E7201">
            <w:pPr>
              <w:rPr>
                <w:lang w:eastAsia="de-DE"/>
              </w:rPr>
            </w:pPr>
          </w:p>
          <w:p w:rsidR="004E472E" w:rsidRDefault="004E472E" w:rsidP="000E7201">
            <w:pPr>
              <w:rPr>
                <w:lang w:eastAsia="de-DE"/>
              </w:rPr>
            </w:pPr>
          </w:p>
        </w:tc>
      </w:tr>
    </w:tbl>
    <w:p w:rsidR="003E3A51" w:rsidRDefault="003E3A51" w:rsidP="000E7201">
      <w:pPr>
        <w:pStyle w:val="berschrift3"/>
        <w:rPr>
          <w:lang w:eastAsia="de-DE"/>
        </w:rPr>
      </w:pPr>
    </w:p>
    <w:p w:rsidR="000E7201" w:rsidRDefault="000E7201" w:rsidP="006C07B3">
      <w:pPr>
        <w:pStyle w:val="berschrift3"/>
        <w:rPr>
          <w:lang w:eastAsia="de-DE"/>
        </w:rPr>
      </w:pPr>
      <w:r>
        <w:rPr>
          <w:lang w:eastAsia="de-DE"/>
        </w:rPr>
        <w:t xml:space="preserve">Prüfschritt 3: </w:t>
      </w:r>
      <w:r w:rsidR="00B71FB2">
        <w:rPr>
          <w:lang w:eastAsia="de-DE"/>
        </w:rPr>
        <w:t>Entscheidung unter</w:t>
      </w:r>
      <w:r w:rsidR="00742B2D">
        <w:rPr>
          <w:lang w:eastAsia="de-DE"/>
        </w:rPr>
        <w:t xml:space="preserve"> menschliche</w:t>
      </w:r>
      <w:r w:rsidR="00B71FB2">
        <w:rPr>
          <w:lang w:eastAsia="de-DE"/>
        </w:rPr>
        <w:t>r</w:t>
      </w:r>
      <w:r w:rsidR="00742B2D">
        <w:rPr>
          <w:lang w:eastAsia="de-DE"/>
        </w:rPr>
        <w:t xml:space="preserve"> Interaktion </w:t>
      </w:r>
      <w:r>
        <w:rPr>
          <w:lang w:eastAsia="de-DE"/>
        </w:rPr>
        <w:t>- Art. 22 (2)</w:t>
      </w:r>
    </w:p>
    <w:p w:rsidR="009C6EE6" w:rsidRPr="006C07B3" w:rsidRDefault="000E7201" w:rsidP="00B71FB2">
      <w:pPr>
        <w:rPr>
          <w:lang w:eastAsia="de-DE"/>
        </w:rPr>
      </w:pPr>
      <w:r w:rsidRPr="006C07B3">
        <w:rPr>
          <w:lang w:eastAsia="de-DE"/>
        </w:rPr>
        <w:t>Erfolgt d</w:t>
      </w:r>
      <w:r w:rsidR="009C6EE6" w:rsidRPr="006C07B3">
        <w:rPr>
          <w:lang w:eastAsia="de-DE"/>
        </w:rPr>
        <w:t xml:space="preserve">ie Entscheidungsfindung </w:t>
      </w:r>
      <w:r w:rsidR="009C6EE6" w:rsidRPr="006C07B3">
        <w:rPr>
          <w:b/>
          <w:lang w:eastAsia="de-DE"/>
        </w:rPr>
        <w:t>ohne menschliche Interaktion</w:t>
      </w:r>
      <w:r w:rsidR="009C6EE6" w:rsidRPr="006C07B3">
        <w:rPr>
          <w:lang w:eastAsia="de-DE"/>
        </w:rPr>
        <w:t xml:space="preserve"> </w:t>
      </w:r>
      <w:r w:rsidR="001F7973" w:rsidRPr="006C07B3">
        <w:rPr>
          <w:lang w:eastAsia="de-DE"/>
        </w:rPr>
        <w:t xml:space="preserve">oder findet </w:t>
      </w:r>
      <w:proofErr w:type="spellStart"/>
      <w:r w:rsidR="001F7973" w:rsidRPr="006C07B3">
        <w:rPr>
          <w:b/>
          <w:lang w:eastAsia="de-DE"/>
        </w:rPr>
        <w:t>Profiling</w:t>
      </w:r>
      <w:proofErr w:type="spellEnd"/>
      <w:r w:rsidR="001F7973" w:rsidRPr="006C07B3">
        <w:rPr>
          <w:lang w:eastAsia="de-DE"/>
        </w:rPr>
        <w:t xml:space="preserve"> statt?</w:t>
      </w:r>
      <w:r w:rsidR="009C6EE6" w:rsidRPr="006C07B3">
        <w:rPr>
          <w:lang w:eastAsia="de-DE"/>
        </w:rPr>
        <w:t xml:space="preserve"> </w:t>
      </w:r>
    </w:p>
    <w:p w:rsidR="001F7973" w:rsidRDefault="00E13AFA" w:rsidP="00F6134F">
      <w:pPr>
        <w:pStyle w:val="HINWEISTEXT"/>
      </w:pPr>
      <w:r>
        <w:t xml:space="preserve">Hinweis: </w:t>
      </w:r>
      <w:r w:rsidR="001F7973">
        <w:t>Vgl. Erwägungsgrund 71 DSGVO</w:t>
      </w:r>
      <w:r w:rsidR="001F7973">
        <w:rPr>
          <w:rStyle w:val="Funotenzeichen"/>
        </w:rPr>
        <w:footnoteReference w:id="3"/>
      </w:r>
      <w:r w:rsidR="00A72CB5">
        <w:t xml:space="preserve"> </w:t>
      </w:r>
      <w:r w:rsidR="00A72CB5" w:rsidRPr="00A72CB5">
        <w:rPr>
          <w:iCs/>
        </w:rPr>
        <w:t>und Leitlinien des EDSA / der Artikel-29-Gruppe</w:t>
      </w:r>
      <w:r w:rsidR="00A72CB5">
        <w:rPr>
          <w:rStyle w:val="Funotenzeichen"/>
        </w:rPr>
        <w:footnoteReference w:id="4"/>
      </w:r>
    </w:p>
    <w:p w:rsidR="001F7973" w:rsidRDefault="001F7973" w:rsidP="00F6134F">
      <w:pPr>
        <w:pStyle w:val="HINWEISTEXT"/>
      </w:pPr>
      <w:r>
        <w:t>Handelt es sich um einen vollautomatischen Prozess? Oder i</w:t>
      </w:r>
      <w:r w:rsidR="00E13AFA">
        <w:t xml:space="preserve">st die automatische Verarbeitung entscheidungsunterstützend, d.h. wird die letztendliche Entscheidung immer von einem Menschen gefällt? Entsprechend des </w:t>
      </w:r>
      <w:r>
        <w:t xml:space="preserve">„Schufa-Urteils“ des </w:t>
      </w:r>
      <w:r w:rsidR="00E13AFA">
        <w:t>E</w:t>
      </w:r>
      <w:r>
        <w:t>uGH</w:t>
      </w:r>
      <w:r w:rsidR="000007CA">
        <w:rPr>
          <w:rStyle w:val="Funotenzeichen"/>
        </w:rPr>
        <w:footnoteReference w:id="5"/>
      </w:r>
      <w:r w:rsidR="00E13AFA">
        <w:t xml:space="preserve"> </w:t>
      </w:r>
      <w:r>
        <w:t>sind</w:t>
      </w:r>
      <w:r w:rsidR="00D63994">
        <w:t xml:space="preserve"> für die erforderliche Prüfung</w:t>
      </w:r>
      <w:r>
        <w:t xml:space="preserve"> </w:t>
      </w:r>
      <w:r w:rsidR="00D63994">
        <w:t xml:space="preserve">im Einzelfall </w:t>
      </w:r>
      <w:r>
        <w:t xml:space="preserve">ausreichend personelle Ressourcen zur Würdigung </w:t>
      </w:r>
      <w:r w:rsidR="00D63994">
        <w:t xml:space="preserve">des Sachverhalts </w:t>
      </w:r>
      <w:r>
        <w:t>bereitzustellen</w:t>
      </w:r>
      <w:r w:rsidR="00D63994">
        <w:t>, ein einfacher „Bestätigen-Klick“ genügt nicht</w:t>
      </w:r>
      <w:r>
        <w:t>.</w:t>
      </w:r>
      <w:r w:rsidR="00E13AFA">
        <w:t xml:space="preserve"> </w:t>
      </w:r>
    </w:p>
    <w:p w:rsidR="001F7973" w:rsidRDefault="00A72CB5" w:rsidP="00F6134F">
      <w:pPr>
        <w:pStyle w:val="HINWEISTEXT"/>
      </w:pPr>
      <w:r w:rsidRPr="00A72CB5">
        <w:rPr>
          <w:iCs/>
        </w:rPr>
        <w:t>Zu Profilbildung</w:t>
      </w:r>
      <w:r w:rsidRPr="00A72CB5">
        <w:rPr>
          <w:b/>
          <w:bCs/>
        </w:rPr>
        <w:t xml:space="preserve"> / </w:t>
      </w:r>
      <w:proofErr w:type="spellStart"/>
      <w:r w:rsidR="001F7973">
        <w:t>Profiling</w:t>
      </w:r>
      <w:proofErr w:type="spellEnd"/>
      <w:r w:rsidR="001F7973">
        <w:t>: Sofern Daten über natürliche Personen gesammelt und in einem persönlichen Profil zusammengefasst gespeichert werden sind die potentiellen Risiken für künftige Entscheidungsfindungen zu betrachten.</w:t>
      </w:r>
    </w:p>
    <w:p w:rsidR="000E7201" w:rsidRPr="008B4D6C" w:rsidRDefault="000E7201" w:rsidP="000E7201">
      <w:pPr>
        <w:rPr>
          <w:b/>
          <w:lang w:eastAsia="de-DE"/>
        </w:rPr>
      </w:pPr>
      <w:r w:rsidRPr="008B4D6C">
        <w:rPr>
          <w:b/>
          <w:lang w:eastAsia="de-DE"/>
        </w:rPr>
        <w:t xml:space="preserve">Zutreffend? JA </w:t>
      </w:r>
      <w:proofErr w:type="gramStart"/>
      <w:r w:rsidRPr="008B4D6C">
        <w:rPr>
          <w:b/>
          <w:lang w:eastAsia="de-DE"/>
        </w:rPr>
        <w:t>[  ]</w:t>
      </w:r>
      <w:proofErr w:type="gramEnd"/>
      <w:r w:rsidRPr="008B4D6C">
        <w:rPr>
          <w:b/>
          <w:lang w:eastAsia="de-DE"/>
        </w:rPr>
        <w:t xml:space="preserve"> / NEIN [  ] / Klärungsbedarf [  ]</w:t>
      </w:r>
    </w:p>
    <w:p w:rsidR="00C91898" w:rsidRPr="00C91898" w:rsidRDefault="00C91898" w:rsidP="00C91898">
      <w:pPr>
        <w:spacing w:after="0"/>
        <w:rPr>
          <w:sz w:val="20"/>
          <w:lang w:eastAsia="de-DE"/>
        </w:rPr>
      </w:pPr>
      <w:r w:rsidRPr="00C91898">
        <w:rPr>
          <w:sz w:val="20"/>
          <w:lang w:eastAsia="de-DE"/>
        </w:rPr>
        <w:t>Begründung Ihrer Antwort:</w:t>
      </w:r>
    </w:p>
    <w:tbl>
      <w:tblPr>
        <w:tblStyle w:val="Tabellenraster"/>
        <w:tblW w:w="0" w:type="auto"/>
        <w:tblLook w:val="04A0" w:firstRow="1" w:lastRow="0" w:firstColumn="1" w:lastColumn="0" w:noHBand="0" w:noVBand="1"/>
      </w:tblPr>
      <w:tblGrid>
        <w:gridCol w:w="9062"/>
      </w:tblGrid>
      <w:tr w:rsidR="00C91898" w:rsidTr="00DD7C86">
        <w:tc>
          <w:tcPr>
            <w:tcW w:w="9062" w:type="dxa"/>
          </w:tcPr>
          <w:p w:rsidR="00C91898" w:rsidRDefault="00C91898" w:rsidP="00DD7C86">
            <w:pPr>
              <w:rPr>
                <w:lang w:eastAsia="de-DE"/>
              </w:rPr>
            </w:pPr>
          </w:p>
          <w:p w:rsidR="00C91898" w:rsidRDefault="00C91898" w:rsidP="00DD7C86">
            <w:pPr>
              <w:rPr>
                <w:lang w:eastAsia="de-DE"/>
              </w:rPr>
            </w:pPr>
          </w:p>
          <w:p w:rsidR="00C91898" w:rsidRDefault="00C91898" w:rsidP="00DD7C86">
            <w:pPr>
              <w:rPr>
                <w:lang w:eastAsia="de-DE"/>
              </w:rPr>
            </w:pPr>
          </w:p>
          <w:p w:rsidR="00C91898" w:rsidRDefault="00C91898" w:rsidP="00DD7C86">
            <w:pPr>
              <w:rPr>
                <w:lang w:eastAsia="de-DE"/>
              </w:rPr>
            </w:pPr>
          </w:p>
        </w:tc>
      </w:tr>
    </w:tbl>
    <w:p w:rsidR="00B71FB2" w:rsidRDefault="00B71FB2" w:rsidP="00B71FB2">
      <w:pPr>
        <w:rPr>
          <w:b/>
          <w:sz w:val="24"/>
          <w:szCs w:val="24"/>
          <w:lang w:eastAsia="de-DE"/>
        </w:rPr>
      </w:pPr>
    </w:p>
    <w:p w:rsidR="00127A22" w:rsidRDefault="00127A22" w:rsidP="00127A22">
      <w:pPr>
        <w:pStyle w:val="berschrift3"/>
        <w:rPr>
          <w:lang w:eastAsia="de-DE"/>
        </w:rPr>
      </w:pPr>
      <w:r>
        <w:rPr>
          <w:lang w:eastAsia="de-DE"/>
        </w:rPr>
        <w:t>Zwischenergebnis</w:t>
      </w:r>
    </w:p>
    <w:p w:rsidR="00127A22" w:rsidRPr="001F03AF" w:rsidRDefault="00127A22" w:rsidP="00127A22">
      <w:pPr>
        <w:rPr>
          <w:rFonts w:eastAsia="Times New Roman" w:cstheme="minorHAnsi"/>
          <w:szCs w:val="24"/>
          <w:lang w:eastAsia="de-DE"/>
        </w:rPr>
      </w:pPr>
      <w:r w:rsidRPr="001F03AF">
        <w:rPr>
          <w:rFonts w:eastAsia="Times New Roman" w:cstheme="minorHAnsi"/>
          <w:szCs w:val="24"/>
          <w:lang w:eastAsia="de-DE"/>
        </w:rPr>
        <w:t>Nur wenn alle Prüfschritte 1 bis 3 mit „zutreffend“ beantwortet wurden, müssen weitere Prüfungen durchgeführt werden.</w:t>
      </w:r>
    </w:p>
    <w:p w:rsidR="00B71FB2" w:rsidRPr="00F10DDE" w:rsidRDefault="00127A22" w:rsidP="00F10DDE">
      <w:pPr>
        <w:pStyle w:val="berschrift3"/>
        <w:rPr>
          <w:rFonts w:eastAsia="Times New Roman" w:cstheme="minorHAnsi"/>
          <w:lang w:eastAsia="de-DE"/>
        </w:rPr>
      </w:pPr>
      <w:r>
        <w:rPr>
          <w:rFonts w:eastAsia="Times New Roman" w:cstheme="minorHAnsi"/>
          <w:lang w:eastAsia="de-DE"/>
        </w:rPr>
        <w:br w:type="page"/>
      </w:r>
      <w:bookmarkStart w:id="0" w:name="_GoBack"/>
      <w:bookmarkEnd w:id="0"/>
      <w:r w:rsidR="00B71FB2">
        <w:rPr>
          <w:lang w:eastAsia="de-DE"/>
        </w:rPr>
        <w:t xml:space="preserve">Prüfschritt </w:t>
      </w:r>
      <w:r w:rsidR="006C07B3">
        <w:rPr>
          <w:lang w:eastAsia="de-DE"/>
        </w:rPr>
        <w:t>4</w:t>
      </w:r>
      <w:r w:rsidR="00B71FB2">
        <w:rPr>
          <w:lang w:eastAsia="de-DE"/>
        </w:rPr>
        <w:t>: Zulässige Ausnahmen ohne menschliche Interaktion - Art. 22 (2)</w:t>
      </w:r>
    </w:p>
    <w:p w:rsidR="00B71FB2" w:rsidRPr="001F03AF" w:rsidRDefault="00B71FB2" w:rsidP="00B71FB2">
      <w:pPr>
        <w:rPr>
          <w:szCs w:val="24"/>
          <w:lang w:eastAsia="de-DE"/>
        </w:rPr>
      </w:pPr>
      <w:r w:rsidRPr="001F03AF">
        <w:rPr>
          <w:szCs w:val="24"/>
          <w:lang w:eastAsia="de-DE"/>
        </w:rPr>
        <w:t>Nur falls Prüfschritt 3 mit „Zutreffend“ beantwortet wurde.</w:t>
      </w:r>
    </w:p>
    <w:p w:rsidR="00B71FB2" w:rsidRPr="001F03AF" w:rsidRDefault="00B71FB2" w:rsidP="00B71FB2">
      <w:pPr>
        <w:rPr>
          <w:szCs w:val="24"/>
          <w:lang w:eastAsia="de-DE"/>
        </w:rPr>
      </w:pPr>
      <w:r w:rsidRPr="001F03AF">
        <w:rPr>
          <w:szCs w:val="24"/>
          <w:lang w:eastAsia="de-DE"/>
        </w:rPr>
        <w:t xml:space="preserve">Ist eine der folgenden Ausnahmen erfüllt: </w:t>
      </w:r>
    </w:p>
    <w:p w:rsidR="00B71FB2" w:rsidRPr="001F03AF" w:rsidRDefault="00B71FB2" w:rsidP="00B71FB2">
      <w:pPr>
        <w:pStyle w:val="Listenabsatz"/>
        <w:numPr>
          <w:ilvl w:val="0"/>
          <w:numId w:val="6"/>
        </w:numPr>
        <w:rPr>
          <w:szCs w:val="24"/>
          <w:lang w:eastAsia="de-DE"/>
        </w:rPr>
      </w:pPr>
      <w:r w:rsidRPr="001F03AF">
        <w:rPr>
          <w:szCs w:val="24"/>
          <w:lang w:eastAsia="de-DE"/>
        </w:rPr>
        <w:t xml:space="preserve">Die automatische Entscheidungsfindung ist </w:t>
      </w:r>
      <w:r w:rsidRPr="001F03AF">
        <w:rPr>
          <w:b/>
          <w:szCs w:val="24"/>
          <w:lang w:eastAsia="de-DE"/>
        </w:rPr>
        <w:t>erforderlich für einen Vertrag</w:t>
      </w:r>
      <w:r w:rsidRPr="001F03AF">
        <w:rPr>
          <w:szCs w:val="24"/>
          <w:lang w:eastAsia="de-DE"/>
        </w:rPr>
        <w:t xml:space="preserve">? </w:t>
      </w:r>
    </w:p>
    <w:p w:rsidR="00B71FB2" w:rsidRPr="001F03AF" w:rsidRDefault="00B71FB2" w:rsidP="00B71FB2">
      <w:pPr>
        <w:pStyle w:val="Listenabsatz"/>
        <w:numPr>
          <w:ilvl w:val="0"/>
          <w:numId w:val="6"/>
        </w:numPr>
        <w:rPr>
          <w:szCs w:val="24"/>
          <w:lang w:eastAsia="de-DE"/>
        </w:rPr>
      </w:pPr>
      <w:r w:rsidRPr="001F03AF">
        <w:rPr>
          <w:szCs w:val="24"/>
          <w:lang w:eastAsia="de-DE"/>
        </w:rPr>
        <w:t xml:space="preserve">Sie setzt eine </w:t>
      </w:r>
      <w:r w:rsidRPr="001F03AF">
        <w:rPr>
          <w:b/>
          <w:szCs w:val="24"/>
          <w:lang w:eastAsia="de-DE"/>
        </w:rPr>
        <w:t>gesetzliche Regelung</w:t>
      </w:r>
      <w:r w:rsidRPr="001F03AF">
        <w:rPr>
          <w:szCs w:val="24"/>
          <w:lang w:eastAsia="de-DE"/>
        </w:rPr>
        <w:t xml:space="preserve"> um? </w:t>
      </w:r>
    </w:p>
    <w:p w:rsidR="00B71FB2" w:rsidRDefault="00B71FB2" w:rsidP="00B71FB2">
      <w:pPr>
        <w:pStyle w:val="Listenabsatz"/>
        <w:numPr>
          <w:ilvl w:val="0"/>
          <w:numId w:val="6"/>
        </w:numPr>
        <w:rPr>
          <w:lang w:eastAsia="de-DE"/>
        </w:rPr>
      </w:pPr>
      <w:r w:rsidRPr="001F03AF">
        <w:rPr>
          <w:szCs w:val="24"/>
          <w:lang w:eastAsia="de-DE"/>
        </w:rPr>
        <w:t xml:space="preserve">Sie basiert auf einer </w:t>
      </w:r>
      <w:r w:rsidR="00A72CB5" w:rsidRPr="001F03AF">
        <w:rPr>
          <w:b/>
          <w:szCs w:val="24"/>
          <w:lang w:eastAsia="de-DE"/>
        </w:rPr>
        <w:t>ausdrücklichen</w:t>
      </w:r>
      <w:r w:rsidR="00A72CB5" w:rsidRPr="001F03AF">
        <w:rPr>
          <w:b/>
          <w:szCs w:val="24"/>
          <w:lang w:eastAsia="de-DE"/>
        </w:rPr>
        <w:t xml:space="preserve"> </w:t>
      </w:r>
      <w:r w:rsidRPr="001F03AF">
        <w:rPr>
          <w:b/>
          <w:szCs w:val="24"/>
          <w:lang w:eastAsia="de-DE"/>
        </w:rPr>
        <w:t>Einwilligung</w:t>
      </w:r>
      <w:r w:rsidRPr="001F03AF">
        <w:rPr>
          <w:szCs w:val="24"/>
          <w:lang w:eastAsia="de-DE"/>
        </w:rPr>
        <w:t xml:space="preserve">? </w:t>
      </w:r>
      <w:r w:rsidRPr="001F03AF">
        <w:rPr>
          <w:szCs w:val="24"/>
          <w:lang w:eastAsia="de-DE"/>
        </w:rPr>
        <w:br/>
      </w:r>
      <w:r>
        <w:rPr>
          <w:lang w:eastAsia="de-DE"/>
        </w:rPr>
        <w:tab/>
      </w:r>
    </w:p>
    <w:p w:rsidR="000007CA" w:rsidRPr="000007CA" w:rsidRDefault="000007CA" w:rsidP="00F6134F">
      <w:pPr>
        <w:pStyle w:val="HINWEISTEXT"/>
      </w:pPr>
      <w:r w:rsidRPr="000007CA">
        <w:t>Hinweis</w:t>
      </w:r>
      <w:r>
        <w:t>e</w:t>
      </w:r>
      <w:r w:rsidRPr="000007CA">
        <w:t xml:space="preserve">: </w:t>
      </w:r>
    </w:p>
    <w:p w:rsidR="000007CA" w:rsidRPr="000007CA" w:rsidRDefault="000007CA" w:rsidP="00F6134F">
      <w:pPr>
        <w:pStyle w:val="HINWEISTEXT"/>
      </w:pPr>
      <w:r w:rsidRPr="000007CA">
        <w:t>Zu (a): Erforderlichkeit begründen</w:t>
      </w:r>
      <w:r>
        <w:t>! B</w:t>
      </w:r>
      <w:r w:rsidRPr="000007CA">
        <w:t>spw</w:t>
      </w:r>
      <w:r>
        <w:t>.</w:t>
      </w:r>
      <w:r w:rsidRPr="000007CA">
        <w:t xml:space="preserve"> kann</w:t>
      </w:r>
      <w:r>
        <w:t xml:space="preserve"> eine</w:t>
      </w:r>
      <w:r w:rsidRPr="000007CA">
        <w:t xml:space="preserve"> automatische Liquiditätsprüfung bei Internet-basierten Verträgen von geringem Umfang erforderlich sein, um einen Kauf sofort abschließen zu können.</w:t>
      </w:r>
    </w:p>
    <w:p w:rsidR="000007CA" w:rsidRDefault="000007CA" w:rsidP="00F6134F">
      <w:pPr>
        <w:pStyle w:val="HINWEISTEXT"/>
      </w:pPr>
      <w:r w:rsidRPr="000007CA">
        <w:t>Zu (</w:t>
      </w:r>
      <w:r>
        <w:t>b</w:t>
      </w:r>
      <w:r w:rsidRPr="000007CA">
        <w:t xml:space="preserve">): </w:t>
      </w:r>
      <w:r>
        <w:t xml:space="preserve">Gesetzliche </w:t>
      </w:r>
      <w:r w:rsidRPr="000007CA">
        <w:t>Regelung angeben</w:t>
      </w:r>
      <w:r w:rsidR="00511972">
        <w:t>, entsprechend der Öffnungsklauseln in Art. 23 DSGVO können Ausnahmen von Art. 22 im Unionsrecht oder Nationalstaatlich geregelt werden.</w:t>
      </w:r>
    </w:p>
    <w:p w:rsidR="000007CA" w:rsidRPr="000007CA" w:rsidRDefault="000007CA" w:rsidP="00F6134F">
      <w:pPr>
        <w:pStyle w:val="HINWEISTEXT"/>
      </w:pPr>
      <w:r>
        <w:t xml:space="preserve">Zu (c): Die </w:t>
      </w:r>
      <w:r w:rsidRPr="000007CA">
        <w:t>Zulässigkeit der Einwilligung</w:t>
      </w:r>
      <w:r>
        <w:t xml:space="preserve"> muss</w:t>
      </w:r>
      <w:r w:rsidRPr="000007CA">
        <w:t xml:space="preserve"> begründe</w:t>
      </w:r>
      <w:r>
        <w:t>t werde</w:t>
      </w:r>
      <w:r w:rsidRPr="000007CA">
        <w:t>n</w:t>
      </w:r>
      <w:r w:rsidR="00511972">
        <w:t xml:space="preserve">. </w:t>
      </w:r>
      <w:r w:rsidR="00511972">
        <w:t xml:space="preserve">Für ausdrückliche Einwilligungen reichen konkludente Handlungen nicht aus, so dass eine erteilte Einwilligung möglicherweise unwirksam ist. In der ausdrücklichen Erklärung muss Bezug auf die jeweils besondere Verarbeitung genommen werden. Siehe auch: Kurzpapier 20 der DSK </w:t>
      </w:r>
      <w:hyperlink r:id="rId12" w:history="1">
        <w:r w:rsidR="00511972" w:rsidRPr="00370290">
          <w:rPr>
            <w:rStyle w:val="Hyperlink"/>
          </w:rPr>
          <w:t>https://www.datenschutzkonferenz-online.de/media/kp/dsk_kpnr_20.pdf</w:t>
        </w:r>
      </w:hyperlink>
      <w:r w:rsidR="00511972">
        <w:t xml:space="preserve"> </w:t>
      </w:r>
    </w:p>
    <w:p w:rsidR="00B71FB2" w:rsidRPr="008B4D6C" w:rsidRDefault="00B71FB2" w:rsidP="00B71FB2">
      <w:pPr>
        <w:rPr>
          <w:b/>
          <w:lang w:eastAsia="de-DE"/>
        </w:rPr>
      </w:pPr>
      <w:r w:rsidRPr="008B4D6C">
        <w:rPr>
          <w:b/>
          <w:lang w:eastAsia="de-DE"/>
        </w:rPr>
        <w:t xml:space="preserve">Zutreffend? JA </w:t>
      </w:r>
      <w:proofErr w:type="gramStart"/>
      <w:r w:rsidRPr="008B4D6C">
        <w:rPr>
          <w:b/>
          <w:lang w:eastAsia="de-DE"/>
        </w:rPr>
        <w:t>[  ]</w:t>
      </w:r>
      <w:proofErr w:type="gramEnd"/>
      <w:r w:rsidRPr="008B4D6C">
        <w:rPr>
          <w:b/>
          <w:lang w:eastAsia="de-DE"/>
        </w:rPr>
        <w:t xml:space="preserve"> / NEIN [  ] / Klärungsbedarf [  ]</w:t>
      </w:r>
    </w:p>
    <w:p w:rsidR="00B71FB2" w:rsidRPr="00C91898" w:rsidRDefault="00B71FB2" w:rsidP="00B71FB2">
      <w:pPr>
        <w:spacing w:after="0"/>
        <w:rPr>
          <w:sz w:val="20"/>
          <w:lang w:eastAsia="de-DE"/>
        </w:rPr>
      </w:pPr>
      <w:r w:rsidRPr="00C91898">
        <w:rPr>
          <w:sz w:val="20"/>
          <w:lang w:eastAsia="de-DE"/>
        </w:rPr>
        <w:t>Begründung Ihrer Antwort:</w:t>
      </w:r>
    </w:p>
    <w:tbl>
      <w:tblPr>
        <w:tblStyle w:val="Tabellenraster"/>
        <w:tblW w:w="0" w:type="auto"/>
        <w:tblLook w:val="04A0" w:firstRow="1" w:lastRow="0" w:firstColumn="1" w:lastColumn="0" w:noHBand="0" w:noVBand="1"/>
      </w:tblPr>
      <w:tblGrid>
        <w:gridCol w:w="9062"/>
      </w:tblGrid>
      <w:tr w:rsidR="00B71FB2" w:rsidTr="003103F0">
        <w:tc>
          <w:tcPr>
            <w:tcW w:w="9062" w:type="dxa"/>
          </w:tcPr>
          <w:p w:rsidR="00B71FB2" w:rsidRDefault="00B71FB2" w:rsidP="003103F0">
            <w:pPr>
              <w:rPr>
                <w:lang w:eastAsia="de-DE"/>
              </w:rPr>
            </w:pPr>
          </w:p>
          <w:p w:rsidR="00B71FB2" w:rsidRDefault="00B71FB2" w:rsidP="003103F0">
            <w:pPr>
              <w:rPr>
                <w:lang w:eastAsia="de-DE"/>
              </w:rPr>
            </w:pPr>
          </w:p>
          <w:p w:rsidR="00B71FB2" w:rsidRDefault="00B71FB2" w:rsidP="003103F0">
            <w:pPr>
              <w:rPr>
                <w:lang w:eastAsia="de-DE"/>
              </w:rPr>
            </w:pPr>
          </w:p>
          <w:p w:rsidR="00B71FB2" w:rsidRDefault="00B71FB2" w:rsidP="003103F0">
            <w:pPr>
              <w:rPr>
                <w:lang w:eastAsia="de-DE"/>
              </w:rPr>
            </w:pPr>
          </w:p>
        </w:tc>
      </w:tr>
    </w:tbl>
    <w:p w:rsidR="003E3A51" w:rsidRDefault="003E3A51" w:rsidP="000E7201">
      <w:pPr>
        <w:pStyle w:val="berschrift3"/>
        <w:rPr>
          <w:lang w:eastAsia="de-DE"/>
        </w:rPr>
      </w:pPr>
    </w:p>
    <w:p w:rsidR="000E7201" w:rsidRDefault="000E7201" w:rsidP="000E7201">
      <w:pPr>
        <w:pStyle w:val="berschrift3"/>
        <w:rPr>
          <w:lang w:eastAsia="de-DE"/>
        </w:rPr>
      </w:pPr>
      <w:r>
        <w:rPr>
          <w:lang w:eastAsia="de-DE"/>
        </w:rPr>
        <w:t xml:space="preserve">Prüfschritt </w:t>
      </w:r>
      <w:r w:rsidR="006C07B3">
        <w:rPr>
          <w:lang w:eastAsia="de-DE"/>
        </w:rPr>
        <w:t>5</w:t>
      </w:r>
      <w:r w:rsidRPr="009C6EE6">
        <w:rPr>
          <w:lang w:eastAsia="de-DE"/>
        </w:rPr>
        <w:t xml:space="preserve"> </w:t>
      </w:r>
      <w:r>
        <w:rPr>
          <w:lang w:eastAsia="de-DE"/>
        </w:rPr>
        <w:t>- besonderen Kategorien personenbezogener Daten - Art. 22 (4)</w:t>
      </w:r>
    </w:p>
    <w:p w:rsidR="00B71FB2" w:rsidRPr="001F03AF" w:rsidRDefault="000E7201" w:rsidP="000E7201">
      <w:pPr>
        <w:rPr>
          <w:szCs w:val="24"/>
          <w:lang w:eastAsia="de-DE"/>
        </w:rPr>
      </w:pPr>
      <w:r w:rsidRPr="001F03AF">
        <w:rPr>
          <w:szCs w:val="24"/>
          <w:lang w:eastAsia="de-DE"/>
        </w:rPr>
        <w:t xml:space="preserve">Es werden </w:t>
      </w:r>
      <w:r w:rsidRPr="001F03AF">
        <w:rPr>
          <w:b/>
          <w:szCs w:val="24"/>
          <w:lang w:eastAsia="de-DE"/>
        </w:rPr>
        <w:t>k</w:t>
      </w:r>
      <w:r w:rsidR="009C6EE6" w:rsidRPr="001F03AF">
        <w:rPr>
          <w:b/>
          <w:szCs w:val="24"/>
          <w:lang w:eastAsia="de-DE"/>
        </w:rPr>
        <w:t>eine besonderen Kategorien personenbezogener Daten</w:t>
      </w:r>
      <w:r w:rsidR="009C6EE6" w:rsidRPr="001F03AF">
        <w:rPr>
          <w:szCs w:val="24"/>
          <w:lang w:eastAsia="de-DE"/>
        </w:rPr>
        <w:t xml:space="preserve"> gem</w:t>
      </w:r>
      <w:r w:rsidR="00742B2D" w:rsidRPr="001F03AF">
        <w:rPr>
          <w:szCs w:val="24"/>
          <w:lang w:eastAsia="de-DE"/>
        </w:rPr>
        <w:t>äß</w:t>
      </w:r>
      <w:r w:rsidR="009C6EE6" w:rsidRPr="001F03AF">
        <w:rPr>
          <w:szCs w:val="24"/>
          <w:lang w:eastAsia="de-DE"/>
        </w:rPr>
        <w:t xml:space="preserve"> Art 9 DSGVO</w:t>
      </w:r>
      <w:r w:rsidRPr="001F03AF">
        <w:rPr>
          <w:szCs w:val="24"/>
          <w:lang w:eastAsia="de-DE"/>
        </w:rPr>
        <w:t xml:space="preserve"> verarbeitet </w:t>
      </w:r>
    </w:p>
    <w:p w:rsidR="00B71FB2" w:rsidRPr="001F03AF" w:rsidRDefault="00B71FB2" w:rsidP="000E7201">
      <w:pPr>
        <w:rPr>
          <w:szCs w:val="24"/>
          <w:lang w:eastAsia="de-DE"/>
        </w:rPr>
      </w:pPr>
      <w:r w:rsidRPr="001F03AF">
        <w:rPr>
          <w:szCs w:val="24"/>
          <w:lang w:eastAsia="de-DE"/>
        </w:rPr>
        <w:t>oder</w:t>
      </w:r>
    </w:p>
    <w:p w:rsidR="009C6EE6" w:rsidRPr="001F03AF" w:rsidRDefault="000E7201" w:rsidP="000E7201">
      <w:pPr>
        <w:rPr>
          <w:szCs w:val="24"/>
          <w:lang w:eastAsia="de-DE"/>
        </w:rPr>
      </w:pPr>
      <w:r w:rsidRPr="001F03AF">
        <w:rPr>
          <w:szCs w:val="24"/>
          <w:lang w:eastAsia="de-DE"/>
        </w:rPr>
        <w:t xml:space="preserve">es kann auf eine explizite Einwilligung nach </w:t>
      </w:r>
      <w:r w:rsidR="009C6EE6" w:rsidRPr="001F03AF">
        <w:rPr>
          <w:szCs w:val="24"/>
          <w:lang w:eastAsia="de-DE"/>
        </w:rPr>
        <w:t xml:space="preserve">Art. 9 (2) </w:t>
      </w:r>
      <w:proofErr w:type="spellStart"/>
      <w:r w:rsidR="009C6EE6" w:rsidRPr="001F03AF">
        <w:rPr>
          <w:szCs w:val="24"/>
          <w:lang w:eastAsia="de-DE"/>
        </w:rPr>
        <w:t>lit</w:t>
      </w:r>
      <w:proofErr w:type="spellEnd"/>
      <w:r w:rsidR="009C6EE6" w:rsidRPr="001F03AF">
        <w:rPr>
          <w:szCs w:val="24"/>
          <w:lang w:eastAsia="de-DE"/>
        </w:rPr>
        <w:t>. a oder</w:t>
      </w:r>
      <w:r w:rsidRPr="001F03AF">
        <w:rPr>
          <w:szCs w:val="24"/>
          <w:lang w:eastAsia="de-DE"/>
        </w:rPr>
        <w:t xml:space="preserve"> </w:t>
      </w:r>
      <w:r w:rsidR="003E3A51" w:rsidRPr="001F03AF">
        <w:rPr>
          <w:szCs w:val="24"/>
          <w:lang w:eastAsia="de-DE"/>
        </w:rPr>
        <w:t xml:space="preserve">auf </w:t>
      </w:r>
      <w:r w:rsidRPr="001F03AF">
        <w:rPr>
          <w:szCs w:val="24"/>
          <w:lang w:eastAsia="de-DE"/>
        </w:rPr>
        <w:t>geset</w:t>
      </w:r>
      <w:r w:rsidR="00742B2D" w:rsidRPr="001F03AF">
        <w:rPr>
          <w:szCs w:val="24"/>
          <w:lang w:eastAsia="de-DE"/>
        </w:rPr>
        <w:t>z</w:t>
      </w:r>
      <w:r w:rsidRPr="001F03AF">
        <w:rPr>
          <w:szCs w:val="24"/>
          <w:lang w:eastAsia="de-DE"/>
        </w:rPr>
        <w:t xml:space="preserve">liche Regelungen </w:t>
      </w:r>
      <w:r w:rsidR="003E3A51" w:rsidRPr="001F03AF">
        <w:rPr>
          <w:szCs w:val="24"/>
          <w:lang w:eastAsia="de-DE"/>
        </w:rPr>
        <w:t>entsprechend</w:t>
      </w:r>
      <w:r w:rsidRPr="001F03AF">
        <w:rPr>
          <w:szCs w:val="24"/>
          <w:lang w:eastAsia="de-DE"/>
        </w:rPr>
        <w:t xml:space="preserve"> Art. 9 (2) </w:t>
      </w:r>
      <w:proofErr w:type="spellStart"/>
      <w:r w:rsidRPr="001F03AF">
        <w:rPr>
          <w:szCs w:val="24"/>
          <w:lang w:eastAsia="de-DE"/>
        </w:rPr>
        <w:t>lit</w:t>
      </w:r>
      <w:proofErr w:type="spellEnd"/>
      <w:r w:rsidRPr="001F03AF">
        <w:rPr>
          <w:szCs w:val="24"/>
          <w:lang w:eastAsia="de-DE"/>
        </w:rPr>
        <w:t xml:space="preserve">. g </w:t>
      </w:r>
      <w:r w:rsidR="003E3A51" w:rsidRPr="001F03AF">
        <w:rPr>
          <w:szCs w:val="24"/>
          <w:lang w:eastAsia="de-DE"/>
        </w:rPr>
        <w:t xml:space="preserve">DSGVO </w:t>
      </w:r>
      <w:r w:rsidRPr="001F03AF">
        <w:rPr>
          <w:szCs w:val="24"/>
          <w:lang w:eastAsia="de-DE"/>
        </w:rPr>
        <w:t>abgestellt werden</w:t>
      </w:r>
      <w:r w:rsidR="009C6EE6" w:rsidRPr="001F03AF">
        <w:rPr>
          <w:szCs w:val="24"/>
          <w:lang w:eastAsia="de-DE"/>
        </w:rPr>
        <w:t>?</w:t>
      </w:r>
    </w:p>
    <w:p w:rsidR="00F6134F" w:rsidRDefault="00F6134F" w:rsidP="00F6134F">
      <w:pPr>
        <w:pStyle w:val="HINWEISTEXT"/>
      </w:pPr>
      <w:r w:rsidRPr="00F6134F">
        <w:t>Hinweis:</w:t>
      </w:r>
      <w:r>
        <w:t xml:space="preserve"> Besondere Kategorien personenbezogener Daten sind: Rassische und ethnische Herkunft, politische Meinungen, religiöse oder weltanschauliche Überzeugungen, Gewerkschaftszugehörigkeit, genetische oder biometrische Daten, Gesundheitsdaten oder Daten zum Sexualleben oder der sexuellen Orientierung natürlicher Personen?</w:t>
      </w:r>
      <w:r w:rsidRPr="00F6134F">
        <w:t xml:space="preserve"> </w:t>
      </w:r>
      <w:r>
        <w:rPr>
          <w:rStyle w:val="Funotenzeichen"/>
        </w:rPr>
        <w:footnoteReference w:id="6"/>
      </w:r>
    </w:p>
    <w:p w:rsidR="00F6134F" w:rsidRPr="00F6134F" w:rsidRDefault="00F6134F" w:rsidP="00F6134F">
      <w:pPr>
        <w:pStyle w:val="HINWEISTEXT"/>
      </w:pPr>
      <w:r w:rsidRPr="00F6134F">
        <w:t xml:space="preserve">Die Zulässigkeit der Einwilligung muss begründet werden. </w:t>
      </w:r>
      <w:r>
        <w:t>G</w:t>
      </w:r>
      <w:r w:rsidRPr="00F6134F">
        <w:t>esetzliche Regelungen</w:t>
      </w:r>
      <w:r>
        <w:t xml:space="preserve"> sind konkret zu benennen.</w:t>
      </w:r>
    </w:p>
    <w:p w:rsidR="000E7201" w:rsidRPr="001879E2" w:rsidRDefault="000E7201" w:rsidP="000E7201">
      <w:pPr>
        <w:rPr>
          <w:b/>
          <w:sz w:val="24"/>
          <w:szCs w:val="24"/>
          <w:lang w:eastAsia="de-DE"/>
        </w:rPr>
      </w:pPr>
      <w:r w:rsidRPr="001879E2">
        <w:rPr>
          <w:b/>
          <w:sz w:val="24"/>
          <w:szCs w:val="24"/>
          <w:lang w:eastAsia="de-DE"/>
        </w:rPr>
        <w:t xml:space="preserve">Zutreffend? JA </w:t>
      </w:r>
      <w:proofErr w:type="gramStart"/>
      <w:r w:rsidRPr="001879E2">
        <w:rPr>
          <w:b/>
          <w:sz w:val="24"/>
          <w:szCs w:val="24"/>
          <w:lang w:eastAsia="de-DE"/>
        </w:rPr>
        <w:t>[  ]</w:t>
      </w:r>
      <w:proofErr w:type="gramEnd"/>
      <w:r w:rsidRPr="001879E2">
        <w:rPr>
          <w:b/>
          <w:sz w:val="24"/>
          <w:szCs w:val="24"/>
          <w:lang w:eastAsia="de-DE"/>
        </w:rPr>
        <w:t xml:space="preserve"> / NEIN [  ] / Klärungsbedarf [  ]</w:t>
      </w:r>
    </w:p>
    <w:p w:rsidR="00C91898" w:rsidRPr="00C91898" w:rsidRDefault="00C91898" w:rsidP="00C91898">
      <w:pPr>
        <w:spacing w:after="0"/>
        <w:rPr>
          <w:sz w:val="20"/>
          <w:lang w:eastAsia="de-DE"/>
        </w:rPr>
      </w:pPr>
      <w:r w:rsidRPr="00C91898">
        <w:rPr>
          <w:sz w:val="20"/>
          <w:lang w:eastAsia="de-DE"/>
        </w:rPr>
        <w:t>Begründung Ihrer Antwort:</w:t>
      </w:r>
    </w:p>
    <w:tbl>
      <w:tblPr>
        <w:tblStyle w:val="Tabellenraster"/>
        <w:tblW w:w="0" w:type="auto"/>
        <w:tblLook w:val="04A0" w:firstRow="1" w:lastRow="0" w:firstColumn="1" w:lastColumn="0" w:noHBand="0" w:noVBand="1"/>
      </w:tblPr>
      <w:tblGrid>
        <w:gridCol w:w="9062"/>
      </w:tblGrid>
      <w:tr w:rsidR="00C91898" w:rsidTr="00DD7C86">
        <w:tc>
          <w:tcPr>
            <w:tcW w:w="9062" w:type="dxa"/>
          </w:tcPr>
          <w:p w:rsidR="00C91898" w:rsidRDefault="00C91898" w:rsidP="00DD7C86">
            <w:pPr>
              <w:rPr>
                <w:lang w:eastAsia="de-DE"/>
              </w:rPr>
            </w:pPr>
          </w:p>
          <w:p w:rsidR="00C91898" w:rsidRDefault="00C91898" w:rsidP="00DD7C86">
            <w:pPr>
              <w:rPr>
                <w:lang w:eastAsia="de-DE"/>
              </w:rPr>
            </w:pPr>
          </w:p>
          <w:p w:rsidR="00C91898" w:rsidRDefault="00C91898" w:rsidP="00DD7C86">
            <w:pPr>
              <w:rPr>
                <w:lang w:eastAsia="de-DE"/>
              </w:rPr>
            </w:pPr>
          </w:p>
          <w:p w:rsidR="00C91898" w:rsidRDefault="00C91898" w:rsidP="00DD7C86">
            <w:pPr>
              <w:rPr>
                <w:lang w:eastAsia="de-DE"/>
              </w:rPr>
            </w:pPr>
          </w:p>
        </w:tc>
      </w:tr>
    </w:tbl>
    <w:p w:rsidR="00B71FB2" w:rsidRDefault="00B71FB2" w:rsidP="00B71FB2">
      <w:pPr>
        <w:spacing w:before="100" w:beforeAutospacing="1" w:after="0" w:line="240" w:lineRule="auto"/>
        <w:rPr>
          <w:rFonts w:eastAsia="Times New Roman" w:cstheme="minorHAnsi"/>
          <w:sz w:val="24"/>
          <w:szCs w:val="24"/>
          <w:lang w:eastAsia="de-DE"/>
        </w:rPr>
      </w:pPr>
    </w:p>
    <w:p w:rsidR="00B71FB2" w:rsidRDefault="00B71FB2" w:rsidP="00B71FB2">
      <w:pPr>
        <w:rPr>
          <w:lang w:eastAsia="de-DE"/>
        </w:rPr>
      </w:pPr>
    </w:p>
    <w:p w:rsidR="00281319" w:rsidRDefault="00C91898" w:rsidP="00C91898">
      <w:pPr>
        <w:pStyle w:val="berschrift2"/>
        <w:rPr>
          <w:rFonts w:eastAsia="Times New Roman"/>
          <w:lang w:eastAsia="de-DE"/>
        </w:rPr>
      </w:pPr>
      <w:r>
        <w:rPr>
          <w:rFonts w:eastAsia="Times New Roman"/>
          <w:lang w:eastAsia="de-DE"/>
        </w:rPr>
        <w:t>Auswertung</w:t>
      </w:r>
    </w:p>
    <w:p w:rsidR="00923552" w:rsidRPr="001F03AF" w:rsidRDefault="00742B2D" w:rsidP="00C91898">
      <w:pPr>
        <w:rPr>
          <w:lang w:eastAsia="de-DE"/>
        </w:rPr>
      </w:pPr>
      <w:r w:rsidRPr="001F03AF">
        <w:rPr>
          <w:lang w:eastAsia="de-DE"/>
        </w:rPr>
        <w:t xml:space="preserve">Sofern </w:t>
      </w:r>
      <w:r w:rsidR="00D63994" w:rsidRPr="001F03AF">
        <w:rPr>
          <w:lang w:eastAsia="de-DE"/>
        </w:rPr>
        <w:t xml:space="preserve">Klärungsbedarf bei einzelnen Prüfschritten </w:t>
      </w:r>
      <w:r w:rsidRPr="001F03AF">
        <w:rPr>
          <w:lang w:eastAsia="de-DE"/>
        </w:rPr>
        <w:t xml:space="preserve">besteht, sollte dieser </w:t>
      </w:r>
      <w:r w:rsidR="00B71FB2" w:rsidRPr="001F03AF">
        <w:rPr>
          <w:lang w:eastAsia="de-DE"/>
        </w:rPr>
        <w:t xml:space="preserve">zunächst </w:t>
      </w:r>
      <w:r w:rsidRPr="001F03AF">
        <w:rPr>
          <w:lang w:eastAsia="de-DE"/>
        </w:rPr>
        <w:t xml:space="preserve">ausgeräumt werden. </w:t>
      </w:r>
    </w:p>
    <w:tbl>
      <w:tblPr>
        <w:tblStyle w:val="Tabellenraster"/>
        <w:tblW w:w="0" w:type="auto"/>
        <w:tblLook w:val="04A0" w:firstRow="1" w:lastRow="0" w:firstColumn="1" w:lastColumn="0" w:noHBand="0" w:noVBand="1"/>
      </w:tblPr>
      <w:tblGrid>
        <w:gridCol w:w="5665"/>
        <w:gridCol w:w="3397"/>
      </w:tblGrid>
      <w:tr w:rsidR="00923552" w:rsidRPr="001F03AF" w:rsidTr="00923552">
        <w:tc>
          <w:tcPr>
            <w:tcW w:w="5665" w:type="dxa"/>
            <w:shd w:val="clear" w:color="auto" w:fill="E7E6E6" w:themeFill="background2"/>
          </w:tcPr>
          <w:p w:rsidR="00923552" w:rsidRPr="001F03AF" w:rsidRDefault="00923552" w:rsidP="00C91898">
            <w:pPr>
              <w:rPr>
                <w:b/>
                <w:lang w:eastAsia="de-DE"/>
              </w:rPr>
            </w:pPr>
            <w:r w:rsidRPr="001F03AF">
              <w:rPr>
                <w:b/>
                <w:lang w:eastAsia="de-DE"/>
              </w:rPr>
              <w:t>Kriterium</w:t>
            </w:r>
          </w:p>
        </w:tc>
        <w:tc>
          <w:tcPr>
            <w:tcW w:w="3397" w:type="dxa"/>
            <w:shd w:val="clear" w:color="auto" w:fill="E7E6E6" w:themeFill="background2"/>
          </w:tcPr>
          <w:p w:rsidR="00923552" w:rsidRPr="001F03AF" w:rsidRDefault="00923552" w:rsidP="00C91898">
            <w:pPr>
              <w:rPr>
                <w:b/>
                <w:lang w:eastAsia="de-DE"/>
              </w:rPr>
            </w:pPr>
            <w:r w:rsidRPr="001F03AF">
              <w:rPr>
                <w:b/>
                <w:lang w:eastAsia="de-DE"/>
              </w:rPr>
              <w:t>Ergebnis der Prüfung</w:t>
            </w:r>
          </w:p>
        </w:tc>
      </w:tr>
      <w:tr w:rsidR="00923552" w:rsidRPr="001F03AF" w:rsidTr="00923552">
        <w:tc>
          <w:tcPr>
            <w:tcW w:w="5665" w:type="dxa"/>
          </w:tcPr>
          <w:p w:rsidR="00923552" w:rsidRPr="001F03AF" w:rsidRDefault="00923552" w:rsidP="00923552">
            <w:pPr>
              <w:pStyle w:val="Listenabsatz"/>
              <w:numPr>
                <w:ilvl w:val="0"/>
                <w:numId w:val="10"/>
              </w:numPr>
              <w:rPr>
                <w:lang w:eastAsia="de-DE"/>
              </w:rPr>
            </w:pPr>
            <w:r w:rsidRPr="001F03AF">
              <w:rPr>
                <w:rFonts w:eastAsia="Times New Roman" w:cstheme="minorHAnsi"/>
                <w:szCs w:val="24"/>
                <w:lang w:eastAsia="de-DE"/>
              </w:rPr>
              <w:t xml:space="preserve">die Prüfschritte 1, 2 und 3 </w:t>
            </w:r>
            <w:r w:rsidR="00127A22" w:rsidRPr="001F03AF">
              <w:rPr>
                <w:rFonts w:eastAsia="Times New Roman" w:cstheme="minorHAnsi"/>
                <w:szCs w:val="24"/>
                <w:lang w:eastAsia="de-DE"/>
              </w:rPr>
              <w:t>wurden</w:t>
            </w:r>
            <w:r w:rsidRPr="001F03AF">
              <w:rPr>
                <w:rFonts w:eastAsia="Times New Roman" w:cstheme="minorHAnsi"/>
                <w:szCs w:val="24"/>
                <w:lang w:eastAsia="de-DE"/>
              </w:rPr>
              <w:t xml:space="preserve"> </w:t>
            </w:r>
            <w:r w:rsidR="00127A22" w:rsidRPr="001F03AF">
              <w:rPr>
                <w:lang w:eastAsia="de-DE"/>
              </w:rPr>
              <w:t>mit „Zutreffend“ beantwortet</w:t>
            </w:r>
          </w:p>
        </w:tc>
        <w:tc>
          <w:tcPr>
            <w:tcW w:w="3397" w:type="dxa"/>
          </w:tcPr>
          <w:p w:rsidR="00923552" w:rsidRPr="001F03AF" w:rsidRDefault="00923552" w:rsidP="00C91898">
            <w:pPr>
              <w:rPr>
                <w:lang w:eastAsia="de-DE"/>
              </w:rPr>
            </w:pPr>
            <w:r w:rsidRPr="001F03AF">
              <w:rPr>
                <w:b/>
                <w:szCs w:val="24"/>
                <w:lang w:eastAsia="de-DE"/>
              </w:rPr>
              <w:t>JA [  ] / NEIN [  ]</w:t>
            </w:r>
          </w:p>
        </w:tc>
      </w:tr>
      <w:tr w:rsidR="00923552" w:rsidRPr="001F03AF" w:rsidTr="00923552">
        <w:tc>
          <w:tcPr>
            <w:tcW w:w="5665" w:type="dxa"/>
          </w:tcPr>
          <w:p w:rsidR="00923552" w:rsidRPr="001F03AF" w:rsidRDefault="00923552" w:rsidP="00923552">
            <w:pPr>
              <w:pStyle w:val="Listenabsatz"/>
              <w:numPr>
                <w:ilvl w:val="0"/>
                <w:numId w:val="10"/>
              </w:numPr>
              <w:rPr>
                <w:lang w:eastAsia="de-DE"/>
              </w:rPr>
            </w:pPr>
            <w:r w:rsidRPr="001F03AF">
              <w:rPr>
                <w:rFonts w:eastAsia="Times New Roman" w:cstheme="minorHAnsi"/>
                <w:szCs w:val="24"/>
                <w:lang w:eastAsia="de-DE"/>
              </w:rPr>
              <w:t xml:space="preserve">die Prüfschritte 3.1 und 4 </w:t>
            </w:r>
            <w:r w:rsidR="00127A22" w:rsidRPr="001F03AF">
              <w:rPr>
                <w:rFonts w:eastAsia="Times New Roman" w:cstheme="minorHAnsi"/>
                <w:szCs w:val="24"/>
                <w:lang w:eastAsia="de-DE"/>
              </w:rPr>
              <w:t xml:space="preserve">wurden </w:t>
            </w:r>
            <w:r w:rsidR="00127A22" w:rsidRPr="001F03AF">
              <w:rPr>
                <w:lang w:eastAsia="de-DE"/>
              </w:rPr>
              <w:t>mit „Zutreffend“ beantwortet</w:t>
            </w:r>
          </w:p>
        </w:tc>
        <w:tc>
          <w:tcPr>
            <w:tcW w:w="3397" w:type="dxa"/>
          </w:tcPr>
          <w:p w:rsidR="00923552" w:rsidRPr="001F03AF" w:rsidRDefault="00923552" w:rsidP="00C91898">
            <w:pPr>
              <w:rPr>
                <w:lang w:eastAsia="de-DE"/>
              </w:rPr>
            </w:pPr>
            <w:r w:rsidRPr="001F03AF">
              <w:rPr>
                <w:b/>
                <w:szCs w:val="24"/>
                <w:lang w:eastAsia="de-DE"/>
              </w:rPr>
              <w:t>JA [  ] / NEIN [  ]</w:t>
            </w:r>
          </w:p>
        </w:tc>
      </w:tr>
    </w:tbl>
    <w:p w:rsidR="00923552" w:rsidRPr="001F03AF" w:rsidRDefault="00923552" w:rsidP="00C91898">
      <w:pPr>
        <w:rPr>
          <w:lang w:eastAsia="de-DE"/>
        </w:rPr>
      </w:pPr>
    </w:p>
    <w:p w:rsidR="00923552" w:rsidRPr="001F03AF" w:rsidRDefault="00923552" w:rsidP="00C91898">
      <w:pPr>
        <w:rPr>
          <w:szCs w:val="24"/>
          <w:lang w:eastAsia="de-DE"/>
        </w:rPr>
      </w:pPr>
      <w:r w:rsidRPr="001F03AF">
        <w:rPr>
          <w:szCs w:val="24"/>
          <w:lang w:eastAsia="de-DE"/>
        </w:rPr>
        <w:t xml:space="preserve">Resultierend aus dem Ergebnis ergeben sich </w:t>
      </w:r>
      <w:r w:rsidRPr="001F03AF">
        <w:rPr>
          <w:b/>
          <w:szCs w:val="24"/>
          <w:lang w:eastAsia="de-DE"/>
        </w:rPr>
        <w:t>drei Fälle entsprechend Artikel 22 DSGVO</w:t>
      </w:r>
      <w:r w:rsidRPr="001F03AF">
        <w:rPr>
          <w:szCs w:val="24"/>
          <w:lang w:eastAsia="de-DE"/>
        </w:rPr>
        <w:t>:</w:t>
      </w:r>
    </w:p>
    <w:p w:rsidR="005843AA" w:rsidRPr="001F03AF" w:rsidRDefault="005843AA" w:rsidP="005843AA">
      <w:pPr>
        <w:pStyle w:val="Listenabsatz"/>
        <w:numPr>
          <w:ilvl w:val="0"/>
          <w:numId w:val="8"/>
        </w:numPr>
        <w:rPr>
          <w:szCs w:val="24"/>
          <w:lang w:eastAsia="de-DE"/>
        </w:rPr>
      </w:pPr>
      <w:r w:rsidRPr="001F03AF">
        <w:rPr>
          <w:rFonts w:eastAsia="Times New Roman" w:cstheme="minorHAnsi"/>
          <w:szCs w:val="24"/>
          <w:lang w:eastAsia="de-DE"/>
        </w:rPr>
        <w:t xml:space="preserve">Falls </w:t>
      </w:r>
      <w:r w:rsidR="00923552" w:rsidRPr="001F03AF">
        <w:rPr>
          <w:rFonts w:eastAsia="Times New Roman" w:cstheme="minorHAnsi"/>
          <w:b/>
          <w:szCs w:val="24"/>
          <w:lang w:eastAsia="de-DE"/>
        </w:rPr>
        <w:t xml:space="preserve">(A) nicht </w:t>
      </w:r>
      <w:r w:rsidR="00127A22" w:rsidRPr="001F03AF">
        <w:rPr>
          <w:rFonts w:eastAsia="Times New Roman" w:cstheme="minorHAnsi"/>
          <w:b/>
          <w:szCs w:val="24"/>
          <w:lang w:eastAsia="de-DE"/>
        </w:rPr>
        <w:t>gilt</w:t>
      </w:r>
      <w:r w:rsidR="00923552" w:rsidRPr="001F03AF">
        <w:rPr>
          <w:rFonts w:eastAsia="Times New Roman" w:cstheme="minorHAnsi"/>
          <w:szCs w:val="24"/>
          <w:lang w:eastAsia="de-DE"/>
        </w:rPr>
        <w:t xml:space="preserve">, d.h. </w:t>
      </w:r>
      <w:r w:rsidRPr="001F03AF">
        <w:rPr>
          <w:rFonts w:eastAsia="Times New Roman" w:cstheme="minorHAnsi"/>
          <w:szCs w:val="24"/>
          <w:lang w:eastAsia="de-DE"/>
        </w:rPr>
        <w:t xml:space="preserve">mindestens einer der Prüfschritte 1, 2 oder 3 </w:t>
      </w:r>
      <w:r w:rsidR="00923552" w:rsidRPr="001F03AF">
        <w:rPr>
          <w:rFonts w:eastAsia="Times New Roman" w:cstheme="minorHAnsi"/>
          <w:szCs w:val="24"/>
          <w:lang w:eastAsia="de-DE"/>
        </w:rPr>
        <w:t>fehlschlägt</w:t>
      </w:r>
      <w:r w:rsidRPr="001F03AF">
        <w:rPr>
          <w:rFonts w:eastAsia="Times New Roman" w:cstheme="minorHAnsi"/>
          <w:szCs w:val="24"/>
          <w:lang w:eastAsia="de-DE"/>
        </w:rPr>
        <w:t>:</w:t>
      </w:r>
    </w:p>
    <w:p w:rsidR="005843AA" w:rsidRPr="001F03AF" w:rsidRDefault="005843AA" w:rsidP="00684D08">
      <w:pPr>
        <w:pStyle w:val="Listenabsatz"/>
        <w:numPr>
          <w:ilvl w:val="1"/>
          <w:numId w:val="8"/>
        </w:numPr>
        <w:ind w:right="-851"/>
        <w:rPr>
          <w:b/>
          <w:szCs w:val="24"/>
          <w:lang w:eastAsia="de-DE"/>
        </w:rPr>
      </w:pPr>
      <w:r w:rsidRPr="001F03AF">
        <w:rPr>
          <w:b/>
          <w:szCs w:val="24"/>
          <w:lang w:eastAsia="de-DE"/>
        </w:rPr>
        <w:t xml:space="preserve">Die Verarbeitungstätigkeit ist KEINE automatisierte Entscheidungsfindung </w:t>
      </w:r>
      <w:r w:rsidR="00684D08" w:rsidRPr="001F03AF">
        <w:rPr>
          <w:b/>
          <w:szCs w:val="24"/>
          <w:lang w:eastAsia="de-DE"/>
        </w:rPr>
        <w:tab/>
        <w:t xml:space="preserve">[ </w:t>
      </w:r>
      <w:proofErr w:type="gramStart"/>
      <w:r w:rsidR="00684D08" w:rsidRPr="001F03AF">
        <w:rPr>
          <w:b/>
          <w:szCs w:val="24"/>
          <w:lang w:eastAsia="de-DE"/>
        </w:rPr>
        <w:t xml:space="preserve">  ]</w:t>
      </w:r>
      <w:proofErr w:type="gramEnd"/>
    </w:p>
    <w:p w:rsidR="00923552" w:rsidRPr="001F03AF" w:rsidRDefault="00923552" w:rsidP="00923552">
      <w:pPr>
        <w:pStyle w:val="Listenabsatz"/>
        <w:numPr>
          <w:ilvl w:val="1"/>
          <w:numId w:val="8"/>
        </w:numPr>
        <w:rPr>
          <w:szCs w:val="24"/>
          <w:lang w:eastAsia="de-DE"/>
        </w:rPr>
      </w:pPr>
      <w:r w:rsidRPr="001F03AF">
        <w:rPr>
          <w:szCs w:val="24"/>
          <w:lang w:eastAsia="de-DE"/>
        </w:rPr>
        <w:t>Eine Angabe des Ergebnisses der erfolgten Prüfung in den Datenschutzhinweisen wird empfohlen</w:t>
      </w:r>
    </w:p>
    <w:p w:rsidR="00923552" w:rsidRPr="001F03AF" w:rsidRDefault="00923552" w:rsidP="008A5BB1">
      <w:pPr>
        <w:pStyle w:val="Listenabsatz"/>
        <w:numPr>
          <w:ilvl w:val="1"/>
          <w:numId w:val="8"/>
        </w:numPr>
        <w:rPr>
          <w:szCs w:val="24"/>
          <w:lang w:eastAsia="de-DE"/>
        </w:rPr>
      </w:pPr>
      <w:r w:rsidRPr="001F03AF">
        <w:rPr>
          <w:szCs w:val="24"/>
          <w:lang w:eastAsia="de-DE"/>
        </w:rPr>
        <w:t>Es entstehen keine weiteren datenschutzrechtlichen Pflichten für den*die Verantwortlichen</w:t>
      </w:r>
    </w:p>
    <w:p w:rsidR="005843AA" w:rsidRPr="001F03AF" w:rsidRDefault="005843AA" w:rsidP="008956C5">
      <w:pPr>
        <w:pStyle w:val="Listenabsatz"/>
        <w:numPr>
          <w:ilvl w:val="0"/>
          <w:numId w:val="8"/>
        </w:numPr>
        <w:rPr>
          <w:szCs w:val="24"/>
          <w:lang w:eastAsia="de-DE"/>
        </w:rPr>
      </w:pPr>
      <w:r w:rsidRPr="001F03AF">
        <w:rPr>
          <w:rFonts w:eastAsia="Times New Roman" w:cstheme="minorHAnsi"/>
          <w:szCs w:val="24"/>
          <w:lang w:eastAsia="de-DE"/>
        </w:rPr>
        <w:t xml:space="preserve">Sofern </w:t>
      </w:r>
      <w:r w:rsidR="00923552" w:rsidRPr="001F03AF">
        <w:rPr>
          <w:rFonts w:eastAsia="Times New Roman" w:cstheme="minorHAnsi"/>
          <w:b/>
          <w:szCs w:val="24"/>
          <w:lang w:eastAsia="de-DE"/>
        </w:rPr>
        <w:t xml:space="preserve">(A und B) </w:t>
      </w:r>
      <w:r w:rsidR="00923552" w:rsidRPr="001F03AF">
        <w:rPr>
          <w:rFonts w:eastAsia="Times New Roman" w:cstheme="minorHAnsi"/>
          <w:szCs w:val="24"/>
          <w:lang w:eastAsia="de-DE"/>
        </w:rPr>
        <w:t xml:space="preserve">gelten, d.h. </w:t>
      </w:r>
      <w:r w:rsidRPr="001F03AF">
        <w:rPr>
          <w:rFonts w:eastAsia="Times New Roman" w:cstheme="minorHAnsi"/>
          <w:szCs w:val="24"/>
          <w:lang w:eastAsia="de-DE"/>
        </w:rPr>
        <w:t xml:space="preserve">alle Prüfschritte </w:t>
      </w:r>
      <w:r w:rsidR="004E472E" w:rsidRPr="001F03AF">
        <w:rPr>
          <w:rFonts w:eastAsia="Times New Roman" w:cstheme="minorHAnsi"/>
          <w:szCs w:val="24"/>
          <w:lang w:eastAsia="de-DE"/>
        </w:rPr>
        <w:t>erfüllt</w:t>
      </w:r>
      <w:r w:rsidRPr="001F03AF">
        <w:rPr>
          <w:rFonts w:eastAsia="Times New Roman" w:cstheme="minorHAnsi"/>
          <w:szCs w:val="24"/>
          <w:lang w:eastAsia="de-DE"/>
        </w:rPr>
        <w:t xml:space="preserve"> sind:</w:t>
      </w:r>
    </w:p>
    <w:p w:rsidR="005843AA" w:rsidRPr="001F03AF" w:rsidRDefault="005843AA" w:rsidP="00684D08">
      <w:pPr>
        <w:pStyle w:val="Listenabsatz"/>
        <w:numPr>
          <w:ilvl w:val="1"/>
          <w:numId w:val="8"/>
        </w:numPr>
        <w:ind w:right="-851"/>
        <w:rPr>
          <w:b/>
          <w:szCs w:val="24"/>
          <w:lang w:eastAsia="de-DE"/>
        </w:rPr>
      </w:pPr>
      <w:r w:rsidRPr="001F03AF">
        <w:rPr>
          <w:b/>
          <w:szCs w:val="24"/>
          <w:lang w:eastAsia="de-DE"/>
        </w:rPr>
        <w:t xml:space="preserve">Es handelt sich um eine automatisierte Entscheidungsfindung </w:t>
      </w:r>
      <w:r w:rsidR="00684D08" w:rsidRPr="001F03AF">
        <w:rPr>
          <w:b/>
          <w:szCs w:val="24"/>
          <w:lang w:eastAsia="de-DE"/>
        </w:rPr>
        <w:tab/>
      </w:r>
      <w:r w:rsidR="00684D08" w:rsidRPr="001F03AF">
        <w:rPr>
          <w:b/>
          <w:szCs w:val="24"/>
          <w:lang w:eastAsia="de-DE"/>
        </w:rPr>
        <w:tab/>
      </w:r>
      <w:r w:rsidR="00684D08" w:rsidRPr="001F03AF">
        <w:rPr>
          <w:b/>
          <w:szCs w:val="24"/>
          <w:lang w:eastAsia="de-DE"/>
        </w:rPr>
        <w:tab/>
        <w:t xml:space="preserve">[ </w:t>
      </w:r>
      <w:proofErr w:type="gramStart"/>
      <w:r w:rsidR="00684D08" w:rsidRPr="001F03AF">
        <w:rPr>
          <w:b/>
          <w:szCs w:val="24"/>
          <w:lang w:eastAsia="de-DE"/>
        </w:rPr>
        <w:t xml:space="preserve">  ]</w:t>
      </w:r>
      <w:proofErr w:type="gramEnd"/>
    </w:p>
    <w:p w:rsidR="008A5BB1" w:rsidRPr="001F03AF" w:rsidRDefault="008A5BB1" w:rsidP="003A734F">
      <w:pPr>
        <w:pStyle w:val="Listenabsatz"/>
        <w:numPr>
          <w:ilvl w:val="1"/>
          <w:numId w:val="8"/>
        </w:numPr>
        <w:rPr>
          <w:szCs w:val="24"/>
          <w:lang w:eastAsia="de-DE"/>
        </w:rPr>
      </w:pPr>
      <w:r w:rsidRPr="001F03AF">
        <w:rPr>
          <w:szCs w:val="24"/>
          <w:lang w:eastAsia="de-DE"/>
        </w:rPr>
        <w:t>Durch den*die Verantwortliche*n sind zusätzliche Maßnahmen umzusetzen (u.a. Interventionsrecht der Betroffenen)</w:t>
      </w:r>
    </w:p>
    <w:p w:rsidR="005843AA" w:rsidRPr="001F03AF" w:rsidRDefault="008A5BB1" w:rsidP="008956C5">
      <w:pPr>
        <w:pStyle w:val="Listenabsatz"/>
        <w:numPr>
          <w:ilvl w:val="0"/>
          <w:numId w:val="8"/>
        </w:numPr>
        <w:rPr>
          <w:szCs w:val="24"/>
          <w:lang w:eastAsia="de-DE"/>
        </w:rPr>
      </w:pPr>
      <w:r w:rsidRPr="001F03AF">
        <w:rPr>
          <w:rFonts w:eastAsia="Times New Roman" w:cstheme="minorHAnsi"/>
          <w:szCs w:val="24"/>
          <w:lang w:eastAsia="de-DE"/>
        </w:rPr>
        <w:t>SONST</w:t>
      </w:r>
      <w:r w:rsidR="00127A22" w:rsidRPr="001F03AF">
        <w:rPr>
          <w:rFonts w:eastAsia="Times New Roman" w:cstheme="minorHAnsi"/>
          <w:szCs w:val="24"/>
          <w:lang w:eastAsia="de-DE"/>
        </w:rPr>
        <w:t>:</w:t>
      </w:r>
      <w:r w:rsidRPr="001F03AF">
        <w:rPr>
          <w:rFonts w:eastAsia="Times New Roman" w:cstheme="minorHAnsi"/>
          <w:szCs w:val="24"/>
          <w:lang w:eastAsia="de-DE"/>
        </w:rPr>
        <w:t xml:space="preserve"> </w:t>
      </w:r>
      <w:r w:rsidR="00127A22" w:rsidRPr="001F03AF">
        <w:rPr>
          <w:rFonts w:eastAsia="Times New Roman" w:cstheme="minorHAnsi"/>
          <w:b/>
          <w:szCs w:val="24"/>
          <w:lang w:eastAsia="de-DE"/>
        </w:rPr>
        <w:t>(A) gilt und (B) nicht</w:t>
      </w:r>
      <w:r w:rsidR="00127A22" w:rsidRPr="001F03AF">
        <w:rPr>
          <w:rFonts w:eastAsia="Times New Roman" w:cstheme="minorHAnsi"/>
          <w:szCs w:val="24"/>
          <w:lang w:eastAsia="de-DE"/>
        </w:rPr>
        <w:t xml:space="preserve">, d.h. </w:t>
      </w:r>
      <w:r w:rsidR="005843AA" w:rsidRPr="001F03AF">
        <w:rPr>
          <w:rFonts w:eastAsia="Times New Roman" w:cstheme="minorHAnsi"/>
          <w:szCs w:val="24"/>
          <w:lang w:eastAsia="de-DE"/>
        </w:rPr>
        <w:t xml:space="preserve">die Prüfschritte 1, 2 und 3 </w:t>
      </w:r>
      <w:r w:rsidR="00127A22" w:rsidRPr="001F03AF">
        <w:rPr>
          <w:rFonts w:eastAsia="Times New Roman" w:cstheme="minorHAnsi"/>
          <w:szCs w:val="24"/>
          <w:lang w:eastAsia="de-DE"/>
        </w:rPr>
        <w:t xml:space="preserve">sind </w:t>
      </w:r>
      <w:r w:rsidR="004E472E" w:rsidRPr="001F03AF">
        <w:rPr>
          <w:rFonts w:eastAsia="Times New Roman" w:cstheme="minorHAnsi"/>
          <w:szCs w:val="24"/>
          <w:lang w:eastAsia="de-DE"/>
        </w:rPr>
        <w:t xml:space="preserve">erfüllt </w:t>
      </w:r>
      <w:r w:rsidR="005843AA" w:rsidRPr="001F03AF">
        <w:rPr>
          <w:rFonts w:eastAsia="Times New Roman" w:cstheme="minorHAnsi"/>
          <w:szCs w:val="24"/>
          <w:lang w:eastAsia="de-DE"/>
        </w:rPr>
        <w:t xml:space="preserve">und </w:t>
      </w:r>
      <w:r w:rsidR="004E472E" w:rsidRPr="001F03AF">
        <w:rPr>
          <w:rFonts w:eastAsia="Times New Roman" w:cstheme="minorHAnsi"/>
          <w:szCs w:val="24"/>
          <w:lang w:eastAsia="de-DE"/>
        </w:rPr>
        <w:t xml:space="preserve">mindestens </w:t>
      </w:r>
      <w:r w:rsidR="005843AA" w:rsidRPr="001F03AF">
        <w:rPr>
          <w:rFonts w:eastAsia="Times New Roman" w:cstheme="minorHAnsi"/>
          <w:szCs w:val="24"/>
          <w:lang w:eastAsia="de-DE"/>
        </w:rPr>
        <w:t xml:space="preserve">einer der Prüfschritte </w:t>
      </w:r>
      <w:r w:rsidR="004E472E" w:rsidRPr="001F03AF">
        <w:rPr>
          <w:rFonts w:eastAsia="Times New Roman" w:cstheme="minorHAnsi"/>
          <w:szCs w:val="24"/>
          <w:lang w:eastAsia="de-DE"/>
        </w:rPr>
        <w:t>3.1</w:t>
      </w:r>
      <w:r w:rsidR="005843AA" w:rsidRPr="001F03AF">
        <w:rPr>
          <w:rFonts w:eastAsia="Times New Roman" w:cstheme="minorHAnsi"/>
          <w:szCs w:val="24"/>
          <w:lang w:eastAsia="de-DE"/>
        </w:rPr>
        <w:t xml:space="preserve"> oder </w:t>
      </w:r>
      <w:r w:rsidR="004E472E" w:rsidRPr="001F03AF">
        <w:rPr>
          <w:rFonts w:eastAsia="Times New Roman" w:cstheme="minorHAnsi"/>
          <w:szCs w:val="24"/>
          <w:lang w:eastAsia="de-DE"/>
        </w:rPr>
        <w:t>4</w:t>
      </w:r>
      <w:r w:rsidR="005843AA" w:rsidRPr="001F03AF">
        <w:rPr>
          <w:rFonts w:eastAsia="Times New Roman" w:cstheme="minorHAnsi"/>
          <w:szCs w:val="24"/>
          <w:lang w:eastAsia="de-DE"/>
        </w:rPr>
        <w:t xml:space="preserve"> nicht </w:t>
      </w:r>
    </w:p>
    <w:p w:rsidR="00684D08" w:rsidRPr="001F03AF" w:rsidRDefault="005843AA" w:rsidP="00684D08">
      <w:pPr>
        <w:pStyle w:val="Listenabsatz"/>
        <w:numPr>
          <w:ilvl w:val="1"/>
          <w:numId w:val="8"/>
        </w:numPr>
        <w:ind w:right="-851"/>
        <w:rPr>
          <w:b/>
          <w:szCs w:val="24"/>
          <w:lang w:eastAsia="de-DE"/>
        </w:rPr>
      </w:pPr>
      <w:r w:rsidRPr="001F03AF">
        <w:rPr>
          <w:b/>
          <w:szCs w:val="24"/>
          <w:lang w:eastAsia="de-DE"/>
        </w:rPr>
        <w:t>Die Verarbeitungstätigkeit ist unzulässig</w:t>
      </w:r>
      <w:r w:rsidR="00127A22" w:rsidRPr="001F03AF">
        <w:rPr>
          <w:b/>
          <w:szCs w:val="24"/>
          <w:lang w:eastAsia="de-DE"/>
        </w:rPr>
        <w:t xml:space="preserve"> </w:t>
      </w:r>
      <w:r w:rsidR="00684D08" w:rsidRPr="001F03AF">
        <w:rPr>
          <w:b/>
          <w:szCs w:val="24"/>
          <w:lang w:eastAsia="de-DE"/>
        </w:rPr>
        <w:tab/>
      </w:r>
      <w:r w:rsidR="00684D08" w:rsidRPr="001F03AF">
        <w:rPr>
          <w:b/>
          <w:szCs w:val="24"/>
          <w:lang w:eastAsia="de-DE"/>
        </w:rPr>
        <w:tab/>
      </w:r>
      <w:r w:rsidR="00684D08" w:rsidRPr="001F03AF">
        <w:rPr>
          <w:b/>
          <w:szCs w:val="24"/>
          <w:lang w:eastAsia="de-DE"/>
        </w:rPr>
        <w:tab/>
      </w:r>
      <w:r w:rsidR="00684D08" w:rsidRPr="001F03AF">
        <w:rPr>
          <w:b/>
          <w:szCs w:val="24"/>
          <w:lang w:eastAsia="de-DE"/>
        </w:rPr>
        <w:tab/>
      </w:r>
      <w:r w:rsidR="00684D08" w:rsidRPr="001F03AF">
        <w:rPr>
          <w:b/>
          <w:szCs w:val="24"/>
          <w:lang w:eastAsia="de-DE"/>
        </w:rPr>
        <w:tab/>
      </w:r>
      <w:r w:rsidR="00684D08" w:rsidRPr="001F03AF">
        <w:rPr>
          <w:b/>
          <w:szCs w:val="24"/>
          <w:lang w:eastAsia="de-DE"/>
        </w:rPr>
        <w:tab/>
        <w:t xml:space="preserve">[ </w:t>
      </w:r>
      <w:proofErr w:type="gramStart"/>
      <w:r w:rsidR="00684D08" w:rsidRPr="001F03AF">
        <w:rPr>
          <w:b/>
          <w:szCs w:val="24"/>
          <w:lang w:eastAsia="de-DE"/>
        </w:rPr>
        <w:t xml:space="preserve">  ]</w:t>
      </w:r>
      <w:proofErr w:type="gramEnd"/>
    </w:p>
    <w:p w:rsidR="00127A22" w:rsidRPr="001F03AF" w:rsidRDefault="00127A22" w:rsidP="00684D08">
      <w:pPr>
        <w:pStyle w:val="Listenabsatz"/>
        <w:numPr>
          <w:ilvl w:val="1"/>
          <w:numId w:val="8"/>
        </w:numPr>
        <w:rPr>
          <w:szCs w:val="24"/>
          <w:lang w:eastAsia="de-DE"/>
        </w:rPr>
      </w:pPr>
      <w:r w:rsidRPr="001F03AF">
        <w:rPr>
          <w:szCs w:val="24"/>
          <w:lang w:eastAsia="de-DE"/>
        </w:rPr>
        <w:t>d</w:t>
      </w:r>
      <w:r w:rsidR="008A5BB1" w:rsidRPr="001F03AF">
        <w:rPr>
          <w:szCs w:val="24"/>
          <w:lang w:eastAsia="de-DE"/>
        </w:rPr>
        <w:t>ie Verarbeitung darf nicht in dieser Form erfolgen, da sie NICHT datenschutzkonform ist</w:t>
      </w:r>
    </w:p>
    <w:p w:rsidR="00127A22" w:rsidRPr="001F03AF" w:rsidRDefault="00127A22" w:rsidP="0019517F">
      <w:pPr>
        <w:pStyle w:val="Listenabsatz"/>
        <w:numPr>
          <w:ilvl w:val="1"/>
          <w:numId w:val="8"/>
        </w:numPr>
        <w:rPr>
          <w:rFonts w:eastAsia="Times New Roman"/>
          <w:sz w:val="20"/>
          <w:lang w:eastAsia="de-DE"/>
        </w:rPr>
      </w:pPr>
      <w:r w:rsidRPr="001F03AF">
        <w:rPr>
          <w:szCs w:val="24"/>
          <w:lang w:eastAsia="de-DE"/>
        </w:rPr>
        <w:t>Es kann</w:t>
      </w:r>
      <w:r w:rsidRPr="001F03AF">
        <w:rPr>
          <w:rFonts w:eastAsia="Times New Roman" w:cstheme="minorHAnsi"/>
          <w:szCs w:val="24"/>
          <w:lang w:eastAsia="de-DE"/>
        </w:rPr>
        <w:t xml:space="preserve"> geprüft werden, ob Anpassungen an der Verarbeitungstätigkeit umgesetzt werden können, z.B. indem eine menschliche Intervention vorgesehen wird </w:t>
      </w:r>
    </w:p>
    <w:p w:rsidR="004A1A33" w:rsidRDefault="00511972" w:rsidP="001F03AF">
      <w:pPr>
        <w:pStyle w:val="berschrift1"/>
        <w:rPr>
          <w:rFonts w:eastAsia="Times New Roman"/>
          <w:lang w:eastAsia="de-DE"/>
        </w:rPr>
      </w:pPr>
      <w:r>
        <w:rPr>
          <w:rFonts w:eastAsia="Times New Roman"/>
          <w:lang w:eastAsia="de-DE"/>
        </w:rPr>
        <w:t xml:space="preserve">Zusätzliche </w:t>
      </w:r>
      <w:r w:rsidR="004A1A33">
        <w:rPr>
          <w:rFonts w:eastAsia="Times New Roman"/>
          <w:lang w:eastAsia="de-DE"/>
        </w:rPr>
        <w:t>Pflichten des*der Verantwortlichen</w:t>
      </w:r>
      <w:r w:rsidR="00684D08">
        <w:rPr>
          <w:rFonts w:eastAsia="Times New Roman"/>
          <w:lang w:eastAsia="de-DE"/>
        </w:rPr>
        <w:t xml:space="preserve"> </w:t>
      </w:r>
    </w:p>
    <w:p w:rsidR="00511972" w:rsidRPr="001F03AF" w:rsidRDefault="00C91898" w:rsidP="00511972">
      <w:pPr>
        <w:rPr>
          <w:rFonts w:cs="Arial"/>
          <w:iCs/>
          <w:szCs w:val="24"/>
        </w:rPr>
      </w:pPr>
      <w:r w:rsidRPr="001F03AF">
        <w:rPr>
          <w:rFonts w:eastAsia="Times New Roman" w:cstheme="minorHAnsi"/>
          <w:szCs w:val="24"/>
          <w:lang w:eastAsia="de-DE"/>
        </w:rPr>
        <w:t xml:space="preserve">Für automatisierte Entscheidungsfindungen nach Art. 22 DSGVO </w:t>
      </w:r>
      <w:r w:rsidR="006A40FE" w:rsidRPr="001F03AF">
        <w:rPr>
          <w:rFonts w:eastAsia="Times New Roman" w:cstheme="minorHAnsi"/>
          <w:szCs w:val="24"/>
          <w:lang w:eastAsia="de-DE"/>
        </w:rPr>
        <w:t xml:space="preserve">sind </w:t>
      </w:r>
      <w:r w:rsidR="004A1A33" w:rsidRPr="001F03AF">
        <w:rPr>
          <w:rFonts w:eastAsia="Times New Roman" w:cstheme="minorHAnsi"/>
          <w:szCs w:val="24"/>
          <w:lang w:eastAsia="de-DE"/>
        </w:rPr>
        <w:t xml:space="preserve">zusätzlich </w:t>
      </w:r>
      <w:r w:rsidR="006A40FE" w:rsidRPr="001F03AF">
        <w:rPr>
          <w:rFonts w:eastAsia="Times New Roman" w:cstheme="minorHAnsi"/>
          <w:szCs w:val="24"/>
          <w:lang w:eastAsia="de-DE"/>
        </w:rPr>
        <w:t xml:space="preserve">folgende </w:t>
      </w:r>
      <w:r w:rsidR="00C50ACE" w:rsidRPr="001F03AF">
        <w:rPr>
          <w:rFonts w:eastAsia="Times New Roman" w:cstheme="minorHAnsi"/>
          <w:szCs w:val="24"/>
          <w:lang w:eastAsia="de-DE"/>
        </w:rPr>
        <w:t>Pflichten</w:t>
      </w:r>
      <w:r w:rsidR="00C50ACE" w:rsidRPr="001F03AF">
        <w:rPr>
          <w:rFonts w:eastAsia="Times New Roman" w:cstheme="minorHAnsi"/>
          <w:szCs w:val="24"/>
          <w:lang w:eastAsia="de-DE"/>
        </w:rPr>
        <w:t xml:space="preserve"> </w:t>
      </w:r>
      <w:r w:rsidR="006A40FE" w:rsidRPr="001F03AF">
        <w:rPr>
          <w:rFonts w:eastAsia="Times New Roman" w:cstheme="minorHAnsi"/>
          <w:szCs w:val="24"/>
          <w:lang w:eastAsia="de-DE"/>
        </w:rPr>
        <w:t>umzusetzen</w:t>
      </w:r>
      <w:r w:rsidR="000C2456" w:rsidRPr="001F03AF">
        <w:rPr>
          <w:rFonts w:eastAsia="Times New Roman" w:cstheme="minorHAnsi"/>
          <w:szCs w:val="24"/>
          <w:lang w:eastAsia="de-DE"/>
        </w:rPr>
        <w:t xml:space="preserve"> und datenschutzrechtlich zu prüfen</w:t>
      </w:r>
      <w:r w:rsidR="00E07640" w:rsidRPr="001F03AF">
        <w:rPr>
          <w:rFonts w:eastAsia="Times New Roman" w:cstheme="minorHAnsi"/>
          <w:szCs w:val="24"/>
          <w:lang w:eastAsia="de-DE"/>
        </w:rPr>
        <w:t>.</w:t>
      </w:r>
      <w:r w:rsidR="00511972" w:rsidRPr="001F03AF">
        <w:rPr>
          <w:rFonts w:eastAsia="Times New Roman" w:cstheme="minorHAnsi"/>
          <w:szCs w:val="24"/>
          <w:lang w:eastAsia="de-DE"/>
        </w:rPr>
        <w:t xml:space="preserve"> </w:t>
      </w:r>
      <w:r w:rsidR="00511972" w:rsidRPr="001F03AF">
        <w:rPr>
          <w:rFonts w:cs="Arial"/>
          <w:iCs/>
          <w:szCs w:val="24"/>
        </w:rPr>
        <w:t xml:space="preserve">Die sonstigen Pflichten aus der DSGVO gelten natürlich weiterhin, darunter die Schwellwertanalyse für Risiken und die Datenschutz-Folgeabschätzung (DSFA). </w:t>
      </w:r>
    </w:p>
    <w:p w:rsidR="00511972" w:rsidRPr="001F03AF" w:rsidRDefault="00511972" w:rsidP="00511972">
      <w:pPr>
        <w:rPr>
          <w:lang w:eastAsia="de-DE"/>
        </w:rPr>
      </w:pPr>
      <w:r w:rsidRPr="001F03AF">
        <w:rPr>
          <w:szCs w:val="24"/>
          <w:lang w:eastAsia="de-DE"/>
        </w:rPr>
        <w:t xml:space="preserve">Zur Umsetzung </w:t>
      </w:r>
      <w:r w:rsidRPr="001F03AF">
        <w:rPr>
          <w:szCs w:val="24"/>
          <w:lang w:eastAsia="de-DE"/>
        </w:rPr>
        <w:t xml:space="preserve">der Maßnahmen </w:t>
      </w:r>
      <w:r w:rsidRPr="001F03AF">
        <w:rPr>
          <w:szCs w:val="24"/>
          <w:lang w:eastAsia="de-DE"/>
        </w:rPr>
        <w:t>wird eine Begleitung durch den</w:t>
      </w:r>
      <w:r w:rsidRPr="001F03AF">
        <w:rPr>
          <w:lang w:eastAsia="de-DE"/>
        </w:rPr>
        <w:t>*die Datenschutzbeauftragte*n empfohlen.</w:t>
      </w:r>
    </w:p>
    <w:p w:rsidR="00350F42" w:rsidRPr="001F03AF" w:rsidRDefault="00C50ACE" w:rsidP="001F03AF">
      <w:pPr>
        <w:spacing w:before="100" w:beforeAutospacing="1" w:after="0" w:line="240" w:lineRule="auto"/>
        <w:rPr>
          <w:rFonts w:eastAsia="Times New Roman" w:cstheme="minorHAnsi"/>
          <w:sz w:val="24"/>
          <w:szCs w:val="24"/>
          <w:lang w:eastAsia="de-DE"/>
        </w:rPr>
      </w:pPr>
      <w:r w:rsidRPr="001F03AF">
        <w:rPr>
          <w:rStyle w:val="berschrift2Zchn"/>
        </w:rPr>
        <w:t>Maßnahmen nach Art. 22 (3) DSGVO</w:t>
      </w:r>
    </w:p>
    <w:p w:rsidR="00350F42" w:rsidRPr="001F03AF" w:rsidRDefault="00754477" w:rsidP="001F03AF">
      <w:pPr>
        <w:rPr>
          <w:rFonts w:eastAsia="Times New Roman" w:cstheme="minorHAnsi"/>
          <w:sz w:val="24"/>
          <w:szCs w:val="24"/>
          <w:lang w:eastAsia="de-DE"/>
        </w:rPr>
      </w:pPr>
      <w:r>
        <w:rPr>
          <w:rFonts w:eastAsia="Times New Roman" w:cstheme="minorHAnsi"/>
          <w:sz w:val="24"/>
          <w:szCs w:val="24"/>
          <w:lang w:eastAsia="de-DE"/>
        </w:rPr>
        <w:t>S</w:t>
      </w:r>
      <w:r w:rsidR="00742B2D" w:rsidRPr="001F03AF">
        <w:rPr>
          <w:rFonts w:eastAsia="Times New Roman" w:cstheme="minorHAnsi"/>
          <w:sz w:val="24"/>
          <w:szCs w:val="24"/>
          <w:lang w:eastAsia="de-DE"/>
        </w:rPr>
        <w:t>etz</w:t>
      </w:r>
      <w:r>
        <w:rPr>
          <w:rFonts w:eastAsia="Times New Roman" w:cstheme="minorHAnsi"/>
          <w:sz w:val="24"/>
          <w:szCs w:val="24"/>
          <w:lang w:eastAsia="de-DE"/>
        </w:rPr>
        <w:t>en Sie</w:t>
      </w:r>
      <w:r w:rsidR="00742B2D" w:rsidRPr="001F03AF">
        <w:rPr>
          <w:rFonts w:eastAsia="Times New Roman" w:cstheme="minorHAnsi"/>
          <w:sz w:val="24"/>
          <w:szCs w:val="24"/>
          <w:lang w:eastAsia="de-DE"/>
        </w:rPr>
        <w:t xml:space="preserve"> angemessene Maßnahmen für Betroffene einschließlich Interventionsrecht</w:t>
      </w:r>
      <w:r w:rsidR="00E15415">
        <w:rPr>
          <w:rFonts w:eastAsia="Times New Roman" w:cstheme="minorHAnsi"/>
          <w:sz w:val="24"/>
          <w:szCs w:val="24"/>
          <w:lang w:eastAsia="de-DE"/>
        </w:rPr>
        <w:t xml:space="preserve"> um</w:t>
      </w:r>
      <w:r w:rsidR="00742B2D" w:rsidRPr="001F03AF">
        <w:rPr>
          <w:rFonts w:eastAsia="Times New Roman" w:cstheme="minorHAnsi"/>
          <w:sz w:val="24"/>
          <w:szCs w:val="24"/>
          <w:lang w:eastAsia="de-DE"/>
        </w:rPr>
        <w:t xml:space="preserve"> (z.B. „KI-Rüge“)</w:t>
      </w:r>
      <w:r w:rsidR="00E15415">
        <w:rPr>
          <w:rFonts w:eastAsia="Times New Roman" w:cstheme="minorHAnsi"/>
          <w:sz w:val="24"/>
          <w:szCs w:val="24"/>
          <w:lang w:eastAsia="de-DE"/>
        </w:rPr>
        <w:t>.</w:t>
      </w:r>
    </w:p>
    <w:p w:rsidR="00C50ACE" w:rsidRPr="001F03AF" w:rsidRDefault="00C50ACE" w:rsidP="001F03AF">
      <w:pPr>
        <w:spacing w:after="0"/>
        <w:rPr>
          <w:sz w:val="20"/>
          <w:lang w:eastAsia="de-DE"/>
        </w:rPr>
      </w:pPr>
      <w:r>
        <w:rPr>
          <w:sz w:val="20"/>
          <w:lang w:eastAsia="de-DE"/>
        </w:rPr>
        <w:t>Beschreibung der Maßnahmen</w:t>
      </w:r>
      <w:r w:rsidRPr="001F03AF">
        <w:rPr>
          <w:sz w:val="20"/>
          <w:lang w:eastAsia="de-DE"/>
        </w:rPr>
        <w:t>:</w:t>
      </w:r>
    </w:p>
    <w:tbl>
      <w:tblPr>
        <w:tblStyle w:val="Tabellenraster"/>
        <w:tblW w:w="0" w:type="auto"/>
        <w:tblLook w:val="04A0" w:firstRow="1" w:lastRow="0" w:firstColumn="1" w:lastColumn="0" w:noHBand="0" w:noVBand="1"/>
      </w:tblPr>
      <w:tblGrid>
        <w:gridCol w:w="9062"/>
      </w:tblGrid>
      <w:tr w:rsidR="00C50ACE" w:rsidTr="006C07B3">
        <w:trPr>
          <w:trHeight w:val="1692"/>
        </w:trPr>
        <w:tc>
          <w:tcPr>
            <w:tcW w:w="9062" w:type="dxa"/>
          </w:tcPr>
          <w:p w:rsidR="00C50ACE" w:rsidRDefault="00C50ACE" w:rsidP="006C07B3">
            <w:pPr>
              <w:rPr>
                <w:lang w:eastAsia="de-DE"/>
              </w:rPr>
            </w:pPr>
          </w:p>
        </w:tc>
      </w:tr>
    </w:tbl>
    <w:p w:rsidR="00C50ACE" w:rsidRDefault="00C50ACE" w:rsidP="00C50ACE">
      <w:pPr>
        <w:rPr>
          <w:rFonts w:eastAsia="Times New Roman" w:cstheme="minorHAnsi"/>
          <w:sz w:val="24"/>
          <w:szCs w:val="24"/>
          <w:lang w:eastAsia="de-DE"/>
        </w:rPr>
      </w:pPr>
    </w:p>
    <w:p w:rsidR="00511972" w:rsidRPr="001F03AF" w:rsidRDefault="00511972" w:rsidP="001F03AF">
      <w:pPr>
        <w:pStyle w:val="berschrift2"/>
        <w:rPr>
          <w:rFonts w:eastAsia="Times New Roman"/>
          <w:lang w:eastAsia="de-DE"/>
        </w:rPr>
      </w:pPr>
      <w:r w:rsidRPr="006A40FE">
        <w:rPr>
          <w:rFonts w:eastAsia="Times New Roman"/>
          <w:lang w:eastAsia="de-DE"/>
        </w:rPr>
        <w:t>Information</w:t>
      </w:r>
      <w:r>
        <w:rPr>
          <w:rFonts w:eastAsia="Times New Roman"/>
          <w:lang w:eastAsia="de-DE"/>
        </w:rPr>
        <w:t>en</w:t>
      </w:r>
      <w:r w:rsidRPr="006A40FE">
        <w:rPr>
          <w:rFonts w:eastAsia="Times New Roman"/>
          <w:lang w:eastAsia="de-DE"/>
        </w:rPr>
        <w:t xml:space="preserve"> </w:t>
      </w:r>
      <w:r>
        <w:rPr>
          <w:rFonts w:eastAsia="Times New Roman"/>
          <w:lang w:eastAsia="de-DE"/>
        </w:rPr>
        <w:t xml:space="preserve">nach </w:t>
      </w:r>
      <w:r w:rsidRPr="006A40FE">
        <w:rPr>
          <w:rFonts w:eastAsia="Times New Roman"/>
          <w:lang w:eastAsia="de-DE"/>
        </w:rPr>
        <w:t xml:space="preserve">Art. 13 (2) </w:t>
      </w:r>
      <w:proofErr w:type="spellStart"/>
      <w:r w:rsidRPr="006A40FE">
        <w:rPr>
          <w:rFonts w:eastAsia="Times New Roman"/>
          <w:lang w:eastAsia="de-DE"/>
        </w:rPr>
        <w:t>lit</w:t>
      </w:r>
      <w:proofErr w:type="spellEnd"/>
      <w:r w:rsidRPr="006A40FE">
        <w:rPr>
          <w:rFonts w:eastAsia="Times New Roman"/>
          <w:lang w:eastAsia="de-DE"/>
        </w:rPr>
        <w:t>. f</w:t>
      </w:r>
      <w:r w:rsidRPr="00742B2D">
        <w:rPr>
          <w:rFonts w:eastAsia="Times New Roman"/>
          <w:lang w:eastAsia="de-DE"/>
        </w:rPr>
        <w:t xml:space="preserve"> </w:t>
      </w:r>
      <w:r>
        <w:rPr>
          <w:rFonts w:eastAsia="Times New Roman"/>
          <w:lang w:eastAsia="de-DE"/>
        </w:rPr>
        <w:t>DSGVO</w:t>
      </w:r>
    </w:p>
    <w:p w:rsidR="00742B2D" w:rsidRPr="001F03AF" w:rsidRDefault="00511972" w:rsidP="00511972">
      <w:pPr>
        <w:rPr>
          <w:rFonts w:eastAsia="Times New Roman" w:cstheme="minorHAnsi"/>
          <w:szCs w:val="24"/>
          <w:lang w:eastAsia="de-DE"/>
        </w:rPr>
      </w:pPr>
      <w:r w:rsidRPr="001F03AF">
        <w:rPr>
          <w:rFonts w:eastAsia="Times New Roman" w:cstheme="minorHAnsi"/>
          <w:szCs w:val="24"/>
          <w:lang w:eastAsia="de-DE"/>
        </w:rPr>
        <w:t xml:space="preserve">Geben Sie </w:t>
      </w:r>
      <w:r w:rsidR="00742B2D" w:rsidRPr="001F03AF">
        <w:rPr>
          <w:rFonts w:eastAsia="Times New Roman" w:cstheme="minorHAnsi"/>
          <w:szCs w:val="24"/>
          <w:lang w:eastAsia="de-DE"/>
        </w:rPr>
        <w:t>hinreichende Information</w:t>
      </w:r>
      <w:r w:rsidRPr="001F03AF">
        <w:rPr>
          <w:rFonts w:eastAsia="Times New Roman" w:cstheme="minorHAnsi"/>
          <w:szCs w:val="24"/>
          <w:lang w:eastAsia="de-DE"/>
        </w:rPr>
        <w:t>en</w:t>
      </w:r>
      <w:r w:rsidR="00742B2D" w:rsidRPr="001F03AF">
        <w:rPr>
          <w:rFonts w:eastAsia="Times New Roman" w:cstheme="minorHAnsi"/>
          <w:szCs w:val="24"/>
          <w:lang w:eastAsia="de-DE"/>
        </w:rPr>
        <w:t xml:space="preserve"> über </w:t>
      </w:r>
      <w:r w:rsidR="003E3A51" w:rsidRPr="001F03AF">
        <w:rPr>
          <w:rFonts w:eastAsia="Times New Roman" w:cstheme="minorHAnsi"/>
          <w:szCs w:val="24"/>
          <w:lang w:eastAsia="de-DE"/>
        </w:rPr>
        <w:t xml:space="preserve">die </w:t>
      </w:r>
      <w:r w:rsidR="00742B2D" w:rsidRPr="001F03AF">
        <w:rPr>
          <w:rFonts w:eastAsia="Times New Roman" w:cstheme="minorHAnsi"/>
          <w:szCs w:val="24"/>
          <w:lang w:eastAsia="de-DE"/>
        </w:rPr>
        <w:t>„involvierte Logik“ (Art und Weise der Entscheidungsfindung) und Interventionsmöglichkeiten</w:t>
      </w:r>
      <w:r w:rsidRPr="001F03AF">
        <w:rPr>
          <w:rFonts w:eastAsia="Times New Roman" w:cstheme="minorHAnsi"/>
          <w:szCs w:val="24"/>
          <w:lang w:eastAsia="de-DE"/>
        </w:rPr>
        <w:t xml:space="preserve"> an.</w:t>
      </w:r>
      <w:r w:rsidR="003E3A51" w:rsidRPr="001F03AF">
        <w:rPr>
          <w:rStyle w:val="Funotenzeichen"/>
          <w:rFonts w:eastAsia="Times New Roman" w:cstheme="minorHAnsi"/>
          <w:szCs w:val="24"/>
          <w:lang w:eastAsia="de-DE"/>
        </w:rPr>
        <w:footnoteReference w:id="7"/>
      </w:r>
    </w:p>
    <w:p w:rsidR="00511972" w:rsidRPr="00923D6B" w:rsidRDefault="00511972" w:rsidP="00511972">
      <w:pPr>
        <w:spacing w:after="0"/>
        <w:rPr>
          <w:sz w:val="20"/>
          <w:lang w:eastAsia="de-DE"/>
        </w:rPr>
      </w:pPr>
      <w:r>
        <w:rPr>
          <w:sz w:val="20"/>
          <w:lang w:eastAsia="de-DE"/>
        </w:rPr>
        <w:t>Beschreibung der Maßnahmen</w:t>
      </w:r>
      <w:r>
        <w:rPr>
          <w:sz w:val="20"/>
          <w:lang w:eastAsia="de-DE"/>
        </w:rPr>
        <w:t>, Datenschutzhinweise ggf. als Anlage beifügen</w:t>
      </w:r>
      <w:r w:rsidRPr="00923D6B">
        <w:rPr>
          <w:sz w:val="20"/>
          <w:lang w:eastAsia="de-DE"/>
        </w:rPr>
        <w:t>:</w:t>
      </w:r>
    </w:p>
    <w:tbl>
      <w:tblPr>
        <w:tblStyle w:val="Tabellenraster"/>
        <w:tblW w:w="0" w:type="auto"/>
        <w:tblLook w:val="04A0" w:firstRow="1" w:lastRow="0" w:firstColumn="1" w:lastColumn="0" w:noHBand="0" w:noVBand="1"/>
      </w:tblPr>
      <w:tblGrid>
        <w:gridCol w:w="9062"/>
      </w:tblGrid>
      <w:tr w:rsidR="00511972" w:rsidTr="00923D6B">
        <w:trPr>
          <w:trHeight w:val="3328"/>
        </w:trPr>
        <w:tc>
          <w:tcPr>
            <w:tcW w:w="9062" w:type="dxa"/>
          </w:tcPr>
          <w:p w:rsidR="00511972" w:rsidRDefault="00511972" w:rsidP="00923D6B">
            <w:pPr>
              <w:rPr>
                <w:lang w:eastAsia="de-DE"/>
              </w:rPr>
            </w:pPr>
          </w:p>
          <w:p w:rsidR="00511972" w:rsidRDefault="00511972" w:rsidP="00923D6B">
            <w:pPr>
              <w:rPr>
                <w:lang w:eastAsia="de-DE"/>
              </w:rPr>
            </w:pPr>
          </w:p>
          <w:p w:rsidR="00511972" w:rsidRDefault="00511972" w:rsidP="00923D6B">
            <w:pPr>
              <w:rPr>
                <w:lang w:eastAsia="de-DE"/>
              </w:rPr>
            </w:pPr>
          </w:p>
          <w:p w:rsidR="00511972" w:rsidRDefault="00511972" w:rsidP="00923D6B">
            <w:pPr>
              <w:rPr>
                <w:lang w:eastAsia="de-DE"/>
              </w:rPr>
            </w:pPr>
          </w:p>
        </w:tc>
      </w:tr>
    </w:tbl>
    <w:p w:rsidR="00511972" w:rsidRDefault="00754477" w:rsidP="00754477">
      <w:pPr>
        <w:pStyle w:val="berschrift2"/>
        <w:rPr>
          <w:rFonts w:eastAsia="Times New Roman"/>
          <w:lang w:eastAsia="de-DE"/>
        </w:rPr>
      </w:pPr>
      <w:r>
        <w:rPr>
          <w:rFonts w:eastAsia="Times New Roman"/>
          <w:lang w:eastAsia="de-DE"/>
        </w:rPr>
        <w:t>Vorgaben</w:t>
      </w:r>
      <w:r w:rsidR="00511972" w:rsidRPr="001F03AF">
        <w:rPr>
          <w:rFonts w:eastAsia="Times New Roman"/>
          <w:lang w:eastAsia="de-DE"/>
        </w:rPr>
        <w:t xml:space="preserve"> der KI-Verordnung</w:t>
      </w:r>
      <w:r>
        <w:rPr>
          <w:rStyle w:val="Funotenzeichen"/>
          <w:rFonts w:eastAsia="Times New Roman"/>
          <w:lang w:eastAsia="de-DE"/>
        </w:rPr>
        <w:footnoteReference w:id="8"/>
      </w:r>
    </w:p>
    <w:p w:rsidR="00754477" w:rsidRPr="001F03AF" w:rsidRDefault="00754477" w:rsidP="001F03AF">
      <w:pPr>
        <w:rPr>
          <w:lang w:eastAsia="de-DE"/>
        </w:rPr>
      </w:pPr>
      <w:r>
        <w:rPr>
          <w:lang w:eastAsia="de-DE"/>
        </w:rPr>
        <w:t xml:space="preserve">Sofern KI zum Einsatz kommt ist die KI-VO anwendbar. </w:t>
      </w:r>
      <w:r>
        <w:rPr>
          <w:lang w:eastAsia="de-DE"/>
        </w:rPr>
        <w:t>Die dort vorgegebene</w:t>
      </w:r>
      <w:r>
        <w:rPr>
          <w:lang w:eastAsia="de-DE"/>
        </w:rPr>
        <w:t>n</w:t>
      </w:r>
      <w:r>
        <w:rPr>
          <w:lang w:eastAsia="de-DE"/>
        </w:rPr>
        <w:t xml:space="preserve"> Anforderungen müssen ebenfalls erfüllt werden.</w:t>
      </w:r>
      <w:r>
        <w:rPr>
          <w:lang w:eastAsia="de-DE"/>
        </w:rPr>
        <w:t xml:space="preserve"> Es ist zu beachten, dass die Begleitung der Prüfung nach der KI-VO i.d.R. nicht durch den*die Datenschutzbeauftragte*n erfolgt. </w:t>
      </w:r>
    </w:p>
    <w:p w:rsidR="003D5F9E" w:rsidRDefault="004A1A33" w:rsidP="00D63994">
      <w:pPr>
        <w:pStyle w:val="HINWEISTEXT"/>
      </w:pPr>
      <w:r w:rsidRPr="001879E2">
        <w:t xml:space="preserve">Hinweis: </w:t>
      </w:r>
      <w:r w:rsidR="00754477" w:rsidRPr="00754477">
        <w:t xml:space="preserve">Zunächst muss </w:t>
      </w:r>
      <w:r w:rsidR="00754477">
        <w:t xml:space="preserve">dabei </w:t>
      </w:r>
      <w:r w:rsidR="00754477" w:rsidRPr="00754477">
        <w:t xml:space="preserve">abgeklärt werden, ob es sich um eine verbotene KI gem. Art. 5 KI-VO oder eine Hochrisiko-KI entsprechend Art. 6 und Anhang III KI-VO handelt. Bei </w:t>
      </w:r>
      <w:r w:rsidR="003D5F9E" w:rsidRPr="00754477">
        <w:t xml:space="preserve">Hochrisiko-KI </w:t>
      </w:r>
      <w:r w:rsidR="00754477" w:rsidRPr="00754477">
        <w:t xml:space="preserve">ergeben sich zahlreiche Pflichten (Art. 6-29 KI-VO). </w:t>
      </w:r>
    </w:p>
    <w:p w:rsidR="00754477" w:rsidRDefault="00754477" w:rsidP="00D63994">
      <w:pPr>
        <w:pStyle w:val="HINWEISTEXT"/>
      </w:pPr>
      <w:r w:rsidRPr="00754477">
        <w:t>Für weitere KI-Systeme gelten (nur) Transparenzpflichten entspr. Erwägungsgrund 132 und Art. 50-56 KI-VO.</w:t>
      </w:r>
    </w:p>
    <w:p w:rsidR="005629AA" w:rsidRDefault="005629AA">
      <w:pPr>
        <w:rPr>
          <w:rFonts w:asciiTheme="majorHAnsi" w:eastAsiaTheme="majorEastAsia" w:hAnsiTheme="majorHAnsi" w:cstheme="majorBidi"/>
          <w:color w:val="2F5496" w:themeColor="accent1" w:themeShade="BF"/>
          <w:sz w:val="32"/>
          <w:szCs w:val="32"/>
        </w:rPr>
      </w:pPr>
      <w:r>
        <w:br w:type="page"/>
      </w:r>
    </w:p>
    <w:p w:rsidR="00C50ACE" w:rsidRDefault="00C50ACE" w:rsidP="001F03AF">
      <w:pPr>
        <w:pStyle w:val="berschrift1"/>
      </w:pPr>
      <w:r>
        <w:lastRenderedPageBreak/>
        <w:t>Anlagen</w:t>
      </w:r>
    </w:p>
    <w:p w:rsidR="00C50ACE" w:rsidRDefault="00C50ACE" w:rsidP="001F03AF">
      <w:r>
        <w:t>Auszüge aus der DSGVO mit Hervorhebungen des Autors</w:t>
      </w:r>
    </w:p>
    <w:p w:rsidR="00C50ACE" w:rsidRDefault="00C50ACE" w:rsidP="001F03AF">
      <w:pPr>
        <w:pStyle w:val="berschrift2"/>
      </w:pPr>
      <w:r w:rsidRPr="00C50ACE">
        <w:t>Erwägungsgrund 71 DSGVO</w:t>
      </w:r>
    </w:p>
    <w:p w:rsidR="00C50ACE" w:rsidRPr="00C50ACE" w:rsidRDefault="00C50ACE" w:rsidP="00C50ACE">
      <w:r w:rsidRPr="00C50ACE">
        <w:t xml:space="preserve">Die betroffene Person sollte das Recht haben, keiner Entscheidung - was eine Maßnahme einschließen kann - zur Bewertung von sie betreffenden persönlichen Aspekten unterworfen zu werden, die ausschließlich auf einer automatisierten Verarbeitung beruht und die rechtliche Wirkung für die betroffene Person entfaltet oder sie in ähnlicher Weise erheblich beeinträchtigt, wie die </w:t>
      </w:r>
      <w:r w:rsidRPr="00C50ACE">
        <w:rPr>
          <w:b/>
          <w:bCs/>
        </w:rPr>
        <w:t xml:space="preserve">automatische Ablehnung eines Online-Kreditantrags </w:t>
      </w:r>
      <w:r w:rsidRPr="00C50ACE">
        <w:t xml:space="preserve">oder </w:t>
      </w:r>
      <w:r w:rsidRPr="00C50ACE">
        <w:rPr>
          <w:b/>
          <w:bCs/>
        </w:rPr>
        <w:t>Online-Einstellungsverfahren ohne jegliches menschliche Eingreifen</w:t>
      </w:r>
      <w:r w:rsidRPr="00C50ACE">
        <w:t>. Zu einer derartigen Verarbeitung zählt auch das "</w:t>
      </w:r>
      <w:proofErr w:type="spellStart"/>
      <w:r w:rsidRPr="00C50ACE">
        <w:rPr>
          <w:b/>
          <w:bCs/>
        </w:rPr>
        <w:t>Profiling</w:t>
      </w:r>
      <w:proofErr w:type="spellEnd"/>
      <w:r w:rsidRPr="00C50ACE">
        <w:t>", das in jeglicher Form automatisierter Verarbeitung personenbezogener Daten unter Bewertung der persönlichen Aspekte in Bezug auf eine natürliche Person besteht</w:t>
      </w:r>
      <w:r w:rsidRPr="00C50ACE">
        <w:rPr>
          <w:b/>
          <w:bCs/>
        </w:rPr>
        <w:t>, insbesondere zur Analyse oder Prognose von Aspekten bezüglich Arbeitsleistung, wirtschaftliche Lage, Gesundheit, persönliche Vorlieben oder Interessen, Zuverlässigkeit oder Verhalten, Aufenthaltsort oder Ortswechsel der betroffenen Person</w:t>
      </w:r>
      <w:r w:rsidRPr="00C50ACE">
        <w:t xml:space="preserve">, soweit dies rechtliche Wirkung für die betroffene Person entfaltet oder sie in ähnlicher Weise erheblich beeinträchtigt. </w:t>
      </w:r>
    </w:p>
    <w:p w:rsidR="00C50ACE" w:rsidRPr="00C50ACE" w:rsidRDefault="00C50ACE" w:rsidP="00C50ACE">
      <w:r w:rsidRPr="00C50ACE">
        <w:rPr>
          <w:b/>
          <w:bCs/>
        </w:rPr>
        <w:t>Eine</w:t>
      </w:r>
      <w:r w:rsidRPr="00C50ACE">
        <w:t xml:space="preserve"> auf einer </w:t>
      </w:r>
      <w:r w:rsidRPr="00C50ACE">
        <w:rPr>
          <w:b/>
          <w:bCs/>
        </w:rPr>
        <w:t>derartige</w:t>
      </w:r>
      <w:r w:rsidRPr="00C50ACE">
        <w:t xml:space="preserve">n Verarbeitung, einschließlich des </w:t>
      </w:r>
      <w:proofErr w:type="spellStart"/>
      <w:r w:rsidRPr="00C50ACE">
        <w:t>Profilings</w:t>
      </w:r>
      <w:proofErr w:type="spellEnd"/>
      <w:r w:rsidRPr="00C50ACE">
        <w:t xml:space="preserve">, beruhende </w:t>
      </w:r>
      <w:r w:rsidRPr="00C50ACE">
        <w:rPr>
          <w:b/>
          <w:bCs/>
        </w:rPr>
        <w:t>Entscheidungsfindung</w:t>
      </w:r>
      <w:r w:rsidRPr="00C50ACE">
        <w:t xml:space="preserve"> </w:t>
      </w:r>
      <w:r w:rsidRPr="00C50ACE">
        <w:rPr>
          <w:b/>
          <w:bCs/>
        </w:rPr>
        <w:t>sollte</w:t>
      </w:r>
      <w:r w:rsidRPr="00C50ACE">
        <w:t xml:space="preserve"> </w:t>
      </w:r>
      <w:r w:rsidRPr="00C50ACE">
        <w:rPr>
          <w:b/>
          <w:bCs/>
        </w:rPr>
        <w:t>allerdings</w:t>
      </w:r>
      <w:r w:rsidRPr="00C50ACE">
        <w:t xml:space="preserve"> </w:t>
      </w:r>
      <w:r w:rsidRPr="00C50ACE">
        <w:rPr>
          <w:b/>
          <w:bCs/>
        </w:rPr>
        <w:t>erlaubt</w:t>
      </w:r>
      <w:r w:rsidRPr="00C50ACE">
        <w:t xml:space="preserve"> </w:t>
      </w:r>
      <w:r w:rsidRPr="00C50ACE">
        <w:rPr>
          <w:b/>
          <w:bCs/>
        </w:rPr>
        <w:t>sein</w:t>
      </w:r>
      <w:r w:rsidRPr="00C50ACE">
        <w:t xml:space="preserve">, wenn dies nach dem </w:t>
      </w:r>
      <w:r w:rsidRPr="00C50ACE">
        <w:rPr>
          <w:b/>
          <w:bCs/>
        </w:rPr>
        <w:t>Unionsrecht</w:t>
      </w:r>
      <w:r w:rsidRPr="00C50ACE">
        <w:t xml:space="preserve"> </w:t>
      </w:r>
      <w:r w:rsidRPr="00C50ACE">
        <w:rPr>
          <w:b/>
          <w:bCs/>
        </w:rPr>
        <w:t>oder</w:t>
      </w:r>
      <w:r w:rsidRPr="00C50ACE">
        <w:t xml:space="preserve"> </w:t>
      </w:r>
      <w:r w:rsidRPr="00C50ACE">
        <w:rPr>
          <w:b/>
          <w:bCs/>
        </w:rPr>
        <w:t>dem</w:t>
      </w:r>
      <w:r w:rsidRPr="00C50ACE">
        <w:t xml:space="preserve"> </w:t>
      </w:r>
      <w:r w:rsidRPr="00C50ACE">
        <w:rPr>
          <w:b/>
          <w:bCs/>
        </w:rPr>
        <w:t>Recht</w:t>
      </w:r>
      <w:r w:rsidRPr="00C50ACE">
        <w:t xml:space="preserve"> </w:t>
      </w:r>
      <w:r w:rsidRPr="00C50ACE">
        <w:rPr>
          <w:b/>
          <w:bCs/>
        </w:rPr>
        <w:t>der</w:t>
      </w:r>
      <w:r w:rsidRPr="00C50ACE">
        <w:t xml:space="preserve"> </w:t>
      </w:r>
      <w:r w:rsidRPr="00C50ACE">
        <w:rPr>
          <w:b/>
          <w:bCs/>
        </w:rPr>
        <w:t>Mitgliedstaaten</w:t>
      </w:r>
      <w:r w:rsidRPr="00C50ACE">
        <w:t xml:space="preserve">, dem der für die Verarbeitung Verantwortliche unterliegt, ausdrücklich zulässig ist, auch um im Einklang mit den Vorschriften, Standards und Empfehlungen der Institutionen der Union oder der nationalen Aufsichtsgremien </w:t>
      </w:r>
      <w:r w:rsidRPr="00C50ACE">
        <w:rPr>
          <w:b/>
          <w:bCs/>
        </w:rPr>
        <w:t>Betrug</w:t>
      </w:r>
      <w:r w:rsidRPr="00C50ACE">
        <w:t xml:space="preserve"> und </w:t>
      </w:r>
      <w:r w:rsidRPr="00C50ACE">
        <w:rPr>
          <w:b/>
          <w:bCs/>
        </w:rPr>
        <w:t>Steuerhinterziehung</w:t>
      </w:r>
      <w:r w:rsidRPr="00C50ACE">
        <w:t xml:space="preserve"> zu überwachen und zu verhindern und die </w:t>
      </w:r>
      <w:r w:rsidRPr="00C50ACE">
        <w:rPr>
          <w:b/>
          <w:bCs/>
        </w:rPr>
        <w:t>Sicherheit und Zuverlässigkeit</w:t>
      </w:r>
      <w:r w:rsidRPr="00C50ACE">
        <w:t xml:space="preserve"> eines von dem Verantwortlichen bereitgestellten Dienstes zu gewährleisten, oder wenn dies für den </w:t>
      </w:r>
      <w:r w:rsidRPr="00C50ACE">
        <w:rPr>
          <w:b/>
          <w:bCs/>
        </w:rPr>
        <w:t xml:space="preserve">Abschluss oder die Erfüllung eines Vertrags </w:t>
      </w:r>
      <w:r w:rsidRPr="00C50ACE">
        <w:t xml:space="preserve">zwischen der betroffenen Person und einem Verantwortlichen </w:t>
      </w:r>
      <w:r w:rsidRPr="00C50ACE">
        <w:rPr>
          <w:b/>
          <w:bCs/>
        </w:rPr>
        <w:t>erforderlich</w:t>
      </w:r>
      <w:r w:rsidRPr="00C50ACE">
        <w:t xml:space="preserve"> ist oder wenn die betroffene Person ihre </w:t>
      </w:r>
      <w:r w:rsidRPr="00C50ACE">
        <w:rPr>
          <w:b/>
          <w:bCs/>
        </w:rPr>
        <w:t xml:space="preserve">ausdrückliche Einwilligung </w:t>
      </w:r>
      <w:r w:rsidRPr="00C50ACE">
        <w:t xml:space="preserve">hierzu erteilt hat. </w:t>
      </w:r>
    </w:p>
    <w:p w:rsidR="00C50ACE" w:rsidRPr="00C50ACE" w:rsidRDefault="00C50ACE" w:rsidP="00C50ACE">
      <w:r w:rsidRPr="00C50ACE">
        <w:t xml:space="preserve">In jedem Fall sollte eine solche Verarbeitung mit </w:t>
      </w:r>
      <w:r w:rsidRPr="00C50ACE">
        <w:rPr>
          <w:b/>
          <w:bCs/>
        </w:rPr>
        <w:t>angemessenen</w:t>
      </w:r>
      <w:r w:rsidRPr="00C50ACE">
        <w:t xml:space="preserve"> </w:t>
      </w:r>
      <w:r w:rsidRPr="00C50ACE">
        <w:rPr>
          <w:b/>
          <w:bCs/>
        </w:rPr>
        <w:t>Garantien</w:t>
      </w:r>
      <w:r w:rsidRPr="00C50ACE">
        <w:t xml:space="preserve"> verbunden sein, einschließlich der spezifischen Unterrichtung der betroffenen Person und des </w:t>
      </w:r>
      <w:r w:rsidRPr="00C50ACE">
        <w:rPr>
          <w:b/>
          <w:bCs/>
        </w:rPr>
        <w:t>Anspruchs auf direktes Eingreifen einer Person</w:t>
      </w:r>
      <w:r w:rsidRPr="00C50ACE">
        <w:t>, auf Darlegung des eigenen Standpunkts, auf Erläuterung der nach einer entsprechenden Bewertung getroffenen Entscheidung sowie des Rechts auf Anfechtung der Entscheidung. Diese Maßnahme sollte kein Kind betreffen.</w:t>
      </w:r>
    </w:p>
    <w:p w:rsidR="00C50ACE" w:rsidRPr="00C50ACE" w:rsidRDefault="00C50ACE" w:rsidP="00C50ACE">
      <w:r w:rsidRPr="00C50ACE">
        <w:t xml:space="preserve">Um unter Berücksichtigung der besonderen Umstände und Rahmenbedingungen, unter denen die personenbezogenen Daten verarbeitet werden, der betroffenen Person gegenüber eine faire und transparente Verarbeitung zu gewährleisten, sollte der für die Verarbeitung Verantwortliche geeignete mathematische oder statistische Verfahren für das </w:t>
      </w:r>
      <w:proofErr w:type="spellStart"/>
      <w:r w:rsidRPr="00C50ACE">
        <w:rPr>
          <w:b/>
          <w:bCs/>
        </w:rPr>
        <w:t>Profiling</w:t>
      </w:r>
      <w:proofErr w:type="spellEnd"/>
      <w:r w:rsidRPr="00C50ACE">
        <w:t xml:space="preserve"> verwenden, technische und organisatorische Maßnahmen treffen, mit denen in geeigneter Weise insbesondere sichergestellt wird, dass Faktoren, die zu unrichtigen personenbezogenen Daten führen, korrigiert werden und das Risiko von Fehlern minimiert wird, und</w:t>
      </w:r>
      <w:r>
        <w:t xml:space="preserve"> </w:t>
      </w:r>
      <w:r w:rsidRPr="00C50ACE">
        <w:t xml:space="preserve">personenbezogene Daten in einer Weise sichern, dass den potenziellen Bedrohungen für die Interessen und Rechte der betroffenen Person Rechnung getragen wird und unter anderem verhindern, dass es gegenüber natürlichen Personen aufgrund von Rasse, ethnischer Herkunft, politischer Meinung, Religion oder Weltanschauung, Gewerkschaftszugehörigkeit, genetischer Anlagen oder Gesundheitszustand sowie sexueller Orientierung zu diskriminierenden Wirkungen oder zu einer Verarbeitung kommt, die eine solche Wirkung hat. Automatisierte Entscheidungsfindung und </w:t>
      </w:r>
      <w:proofErr w:type="spellStart"/>
      <w:r w:rsidRPr="00C50ACE">
        <w:t>Profiling</w:t>
      </w:r>
      <w:proofErr w:type="spellEnd"/>
      <w:r w:rsidRPr="00C50ACE">
        <w:t xml:space="preserve"> auf der Grundlage besonderer Kategorien von personenbezogenen Daten sollten nur unter bestimmten Bedingungen erlaubt sein.</w:t>
      </w:r>
    </w:p>
    <w:p w:rsidR="00C50ACE" w:rsidRPr="001F03AF" w:rsidRDefault="00C50ACE" w:rsidP="001F03AF">
      <w:pPr>
        <w:pStyle w:val="berschrift2"/>
      </w:pPr>
      <w:r w:rsidRPr="001F03AF">
        <w:t>Erwägungsgrund 72</w:t>
      </w:r>
    </w:p>
    <w:p w:rsidR="00C50ACE" w:rsidRPr="00C50ACE" w:rsidRDefault="00C50ACE" w:rsidP="00C50ACE">
      <w:r w:rsidRPr="00C50ACE">
        <w:t xml:space="preserve">Das </w:t>
      </w:r>
      <w:proofErr w:type="spellStart"/>
      <w:r w:rsidRPr="00C50ACE">
        <w:rPr>
          <w:b/>
          <w:bCs/>
        </w:rPr>
        <w:t>Profiling</w:t>
      </w:r>
      <w:proofErr w:type="spellEnd"/>
      <w:r w:rsidRPr="00C50ACE">
        <w:t xml:space="preserve"> unterliegt den Vorschriften dieser Verordnung für die Verarbeitung personenbezogener Daten, wie etwa die Rechtsgrundlage für die Verarbeitung oder die Datenschutzgrundsätze. Der </w:t>
      </w:r>
      <w:r w:rsidRPr="00C50ACE">
        <w:lastRenderedPageBreak/>
        <w:t xml:space="preserve">durch diese Verordnung eingerichtete </w:t>
      </w:r>
      <w:r w:rsidRPr="00C50ACE">
        <w:rPr>
          <w:b/>
          <w:bCs/>
        </w:rPr>
        <w:t>Europäische</w:t>
      </w:r>
      <w:r w:rsidRPr="00C50ACE">
        <w:t xml:space="preserve"> </w:t>
      </w:r>
      <w:r w:rsidRPr="00C50ACE">
        <w:rPr>
          <w:b/>
          <w:bCs/>
        </w:rPr>
        <w:t>Datenschutzausschuss</w:t>
      </w:r>
      <w:r w:rsidRPr="00C50ACE">
        <w:t xml:space="preserve"> (im Folgenden "Ausschuss") sollte, diesbezüglich </w:t>
      </w:r>
      <w:r w:rsidRPr="00C50ACE">
        <w:rPr>
          <w:b/>
          <w:bCs/>
        </w:rPr>
        <w:t>Leitlinien</w:t>
      </w:r>
      <w:r w:rsidRPr="00C50ACE">
        <w:t xml:space="preserve"> herausgeben können.</w:t>
      </w:r>
      <w:r w:rsidR="005629AA">
        <w:rPr>
          <w:rStyle w:val="Funotenzeichen"/>
        </w:rPr>
        <w:footnoteReference w:id="9"/>
      </w:r>
    </w:p>
    <w:p w:rsidR="00C50ACE" w:rsidRDefault="00C50ACE" w:rsidP="001F03AF">
      <w:pPr>
        <w:pStyle w:val="berschrift2"/>
      </w:pPr>
      <w:r w:rsidRPr="00C50ACE">
        <w:t>Art. 2 DSGVO - Sachlicher Anwendungsbereich</w:t>
      </w:r>
    </w:p>
    <w:p w:rsidR="00C50ACE" w:rsidRPr="00C50ACE" w:rsidRDefault="00C50ACE" w:rsidP="00C50ACE">
      <w:r w:rsidRPr="00C50ACE">
        <w:t xml:space="preserve">(1) Diese Verordnung gilt für die ganz oder teilweise automatisierte </w:t>
      </w:r>
      <w:r w:rsidRPr="00C50ACE">
        <w:rPr>
          <w:b/>
          <w:bCs/>
        </w:rPr>
        <w:t xml:space="preserve">Verarbeitung personenbezogener Daten </w:t>
      </w:r>
      <w:r w:rsidRPr="00C50ACE">
        <w:t xml:space="preserve">sowie für die nichtautomatisierte Verarbeitung personenbezogener Daten, die </w:t>
      </w:r>
      <w:r w:rsidRPr="00C50ACE">
        <w:rPr>
          <w:b/>
          <w:bCs/>
        </w:rPr>
        <w:t xml:space="preserve">in einem Dateisystem gespeichert </w:t>
      </w:r>
      <w:r w:rsidRPr="00C50ACE">
        <w:t>sind oder gespeichert werden sollen.</w:t>
      </w:r>
    </w:p>
    <w:p w:rsidR="00C50ACE" w:rsidRPr="00C50ACE" w:rsidRDefault="00C50ACE" w:rsidP="00C50ACE">
      <w:r w:rsidRPr="00C50ACE">
        <w:t xml:space="preserve">(2) Diese Verordnung findet </w:t>
      </w:r>
      <w:r w:rsidRPr="00C50ACE">
        <w:rPr>
          <w:b/>
          <w:bCs/>
        </w:rPr>
        <w:t xml:space="preserve">keine Anwendung </w:t>
      </w:r>
      <w:r w:rsidRPr="00C50ACE">
        <w:t>auf die Verarbeitung personenbezogener Daten</w:t>
      </w:r>
    </w:p>
    <w:p w:rsidR="00000000" w:rsidRPr="00C50ACE" w:rsidRDefault="00F10DDE" w:rsidP="00C50ACE">
      <w:pPr>
        <w:numPr>
          <w:ilvl w:val="0"/>
          <w:numId w:val="13"/>
        </w:numPr>
      </w:pPr>
      <w:r w:rsidRPr="00C50ACE">
        <w:t xml:space="preserve">im Rahmen einer Tätigkeit, die </w:t>
      </w:r>
      <w:r w:rsidRPr="00C50ACE">
        <w:rPr>
          <w:b/>
          <w:bCs/>
        </w:rPr>
        <w:t>nicht in</w:t>
      </w:r>
      <w:r w:rsidRPr="00C50ACE">
        <w:t xml:space="preserve"> </w:t>
      </w:r>
      <w:r w:rsidRPr="00C50ACE">
        <w:t xml:space="preserve">den </w:t>
      </w:r>
      <w:r w:rsidRPr="00C50ACE">
        <w:rPr>
          <w:b/>
          <w:bCs/>
        </w:rPr>
        <w:t xml:space="preserve">Anwendungsbereich des Unionsrechts </w:t>
      </w:r>
      <w:r w:rsidRPr="00C50ACE">
        <w:t>fällt,</w:t>
      </w:r>
    </w:p>
    <w:p w:rsidR="00000000" w:rsidRPr="00C50ACE" w:rsidRDefault="00F10DDE" w:rsidP="00C50ACE">
      <w:pPr>
        <w:numPr>
          <w:ilvl w:val="0"/>
          <w:numId w:val="13"/>
        </w:numPr>
      </w:pPr>
      <w:r w:rsidRPr="00C50ACE">
        <w:t>durch die Mitgliedstaaten im Rahmen von Tätigkeiten, die in</w:t>
      </w:r>
      <w:r w:rsidRPr="00C50ACE">
        <w:t xml:space="preserve"> den </w:t>
      </w:r>
      <w:r w:rsidRPr="00C50ACE">
        <w:rPr>
          <w:b/>
          <w:bCs/>
        </w:rPr>
        <w:t xml:space="preserve">Anwendungsbereich von Titel V Kapitel 2 EUV </w:t>
      </w:r>
      <w:r w:rsidRPr="00C50ACE">
        <w:t>fallen,</w:t>
      </w:r>
    </w:p>
    <w:p w:rsidR="00000000" w:rsidRPr="00C50ACE" w:rsidRDefault="00F10DDE" w:rsidP="00C50ACE">
      <w:pPr>
        <w:numPr>
          <w:ilvl w:val="0"/>
          <w:numId w:val="13"/>
        </w:numPr>
      </w:pPr>
      <w:r w:rsidRPr="00C50ACE">
        <w:t xml:space="preserve">durch natürliche Personen zur </w:t>
      </w:r>
      <w:r w:rsidRPr="00C50ACE">
        <w:rPr>
          <w:b/>
          <w:bCs/>
        </w:rPr>
        <w:t>Ausübung ausschließlich persönlicher oder familiärer Tätigkeiten</w:t>
      </w:r>
      <w:r w:rsidRPr="00C50ACE">
        <w:t>,</w:t>
      </w:r>
    </w:p>
    <w:p w:rsidR="00000000" w:rsidRPr="00C50ACE" w:rsidRDefault="00F10DDE" w:rsidP="00C50ACE">
      <w:pPr>
        <w:numPr>
          <w:ilvl w:val="0"/>
          <w:numId w:val="13"/>
        </w:numPr>
      </w:pPr>
      <w:r w:rsidRPr="00C50ACE">
        <w:t xml:space="preserve">durch die zuständigen </w:t>
      </w:r>
      <w:r w:rsidRPr="00C50ACE">
        <w:rPr>
          <w:b/>
          <w:bCs/>
        </w:rPr>
        <w:t>Behörden</w:t>
      </w:r>
      <w:r w:rsidRPr="00C50ACE">
        <w:t xml:space="preserve"> zum Zwecke der Verhütung, Ermittlung, Aufdeckung o</w:t>
      </w:r>
      <w:r w:rsidRPr="00C50ACE">
        <w:t xml:space="preserve">der Verfolgung von </w:t>
      </w:r>
      <w:r w:rsidRPr="00C50ACE">
        <w:rPr>
          <w:b/>
          <w:bCs/>
        </w:rPr>
        <w:t>Straftaten oder der Strafvollstreckung</w:t>
      </w:r>
      <w:r w:rsidRPr="00C50ACE">
        <w:t xml:space="preserve">, einschließlich des Schutzes vor und der Abwehr von Gefahren für </w:t>
      </w:r>
      <w:r w:rsidRPr="00C50ACE">
        <w:t xml:space="preserve">die </w:t>
      </w:r>
      <w:r w:rsidRPr="00C50ACE">
        <w:rPr>
          <w:b/>
          <w:bCs/>
        </w:rPr>
        <w:t>öffentliche Sicherheit</w:t>
      </w:r>
      <w:r w:rsidRPr="00C50ACE">
        <w:t>.</w:t>
      </w:r>
    </w:p>
    <w:p w:rsidR="00C50ACE" w:rsidRDefault="00C50ACE" w:rsidP="00C50ACE">
      <w:r>
        <w:t>(…)</w:t>
      </w:r>
    </w:p>
    <w:p w:rsidR="00C50ACE" w:rsidRDefault="00C50ACE" w:rsidP="001F03AF">
      <w:pPr>
        <w:pStyle w:val="berschrift2"/>
      </w:pPr>
      <w:r w:rsidRPr="00C50ACE">
        <w:t>Art. 3 DSGVO - Räumlicher Anwendungsbereich</w:t>
      </w:r>
    </w:p>
    <w:p w:rsidR="00C50ACE" w:rsidRPr="00C50ACE" w:rsidRDefault="00C50ACE" w:rsidP="00C50ACE">
      <w:r w:rsidRPr="00C50ACE">
        <w:t xml:space="preserve">(1) Diese Verordnung findet Anwendung auf die </w:t>
      </w:r>
      <w:r w:rsidRPr="00C50ACE">
        <w:rPr>
          <w:b/>
          <w:bCs/>
        </w:rPr>
        <w:t>Verarbeitung personenbezogener Daten</w:t>
      </w:r>
      <w:r w:rsidRPr="00C50ACE">
        <w:t xml:space="preserve">, soweit diese im Rahmen der Tätigkeiten einer Niederlassung </w:t>
      </w:r>
      <w:r w:rsidRPr="00C50ACE">
        <w:rPr>
          <w:b/>
          <w:bCs/>
        </w:rPr>
        <w:t xml:space="preserve">eines Verantwortlichen </w:t>
      </w:r>
      <w:r w:rsidRPr="00C50ACE">
        <w:t xml:space="preserve">oder eines Auftragsverarbeiters in </w:t>
      </w:r>
      <w:r w:rsidRPr="00C50ACE">
        <w:rPr>
          <w:b/>
          <w:bCs/>
        </w:rPr>
        <w:t xml:space="preserve">der Union </w:t>
      </w:r>
      <w:r w:rsidRPr="00C50ACE">
        <w:t>erfolgt, unabhängig davon, ob die Verarbeitung in der Union stattfindet.</w:t>
      </w:r>
    </w:p>
    <w:p w:rsidR="00C50ACE" w:rsidRPr="00C50ACE" w:rsidRDefault="00C50ACE" w:rsidP="00C50ACE">
      <w:r w:rsidRPr="00C50ACE">
        <w:t xml:space="preserve">(2) Diese Verordnung findet Anwendung auf die Verarbeitung personenbezogener Daten von </w:t>
      </w:r>
      <w:r w:rsidRPr="00C50ACE">
        <w:rPr>
          <w:b/>
          <w:bCs/>
        </w:rPr>
        <w:t>betroffenen Personen, die sich in der Union befinden</w:t>
      </w:r>
      <w:r w:rsidRPr="00C50ACE">
        <w:t>, durch einen nicht in der Union niedergelassenen Verantwortlichen oder Auftragsverarbeiter, wenn die Datenverarbeitung im Zusammenhang damit steht</w:t>
      </w:r>
    </w:p>
    <w:p w:rsidR="00000000" w:rsidRPr="00C50ACE" w:rsidRDefault="00F10DDE" w:rsidP="00C50ACE">
      <w:pPr>
        <w:numPr>
          <w:ilvl w:val="0"/>
          <w:numId w:val="14"/>
        </w:numPr>
      </w:pPr>
      <w:r w:rsidRPr="00C50ACE">
        <w:t xml:space="preserve">betroffenen Personen in der Union </w:t>
      </w:r>
      <w:r w:rsidRPr="00C50ACE">
        <w:rPr>
          <w:b/>
          <w:bCs/>
        </w:rPr>
        <w:t>Waren oder Dienstleistungen anzubieten</w:t>
      </w:r>
      <w:r w:rsidRPr="00C50ACE">
        <w:t>, unabhängig</w:t>
      </w:r>
      <w:r w:rsidRPr="00C50ACE">
        <w:t xml:space="preserve"> davon, ob von diesen betroffenen Personen eine Zahlung zu leisten ist;</w:t>
      </w:r>
    </w:p>
    <w:p w:rsidR="00000000" w:rsidRPr="00C50ACE" w:rsidRDefault="00F10DDE" w:rsidP="00C50ACE">
      <w:pPr>
        <w:numPr>
          <w:ilvl w:val="0"/>
          <w:numId w:val="14"/>
        </w:numPr>
      </w:pPr>
      <w:r w:rsidRPr="00C50ACE">
        <w:t xml:space="preserve">das </w:t>
      </w:r>
      <w:r w:rsidRPr="00C50ACE">
        <w:rPr>
          <w:b/>
          <w:bCs/>
        </w:rPr>
        <w:t>Verhalten betroffener Personen zu beobachten</w:t>
      </w:r>
      <w:r w:rsidRPr="00C50ACE">
        <w:t>, soweit ihr Verhalten in der Union erfolgt.</w:t>
      </w:r>
    </w:p>
    <w:p w:rsidR="00C50ACE" w:rsidRDefault="00C50ACE" w:rsidP="00C50ACE">
      <w:r>
        <w:t>(…)</w:t>
      </w:r>
    </w:p>
    <w:p w:rsidR="005629AA" w:rsidRDefault="005629AA" w:rsidP="001F03AF">
      <w:pPr>
        <w:pStyle w:val="berschrift2"/>
      </w:pPr>
      <w:r>
        <w:t>Art. 13</w:t>
      </w:r>
      <w:r>
        <w:t xml:space="preserve"> </w:t>
      </w:r>
      <w:r>
        <w:t>Informationspflicht bei Erhebung von personenbezogenen Daten bei der betroffenen Person</w:t>
      </w:r>
      <w:r w:rsidR="00A72335">
        <w:t xml:space="preserve">; </w:t>
      </w:r>
      <w:r w:rsidR="00A72335" w:rsidRPr="00A72335">
        <w:t>analog nach Art. 14</w:t>
      </w:r>
    </w:p>
    <w:p w:rsidR="005629AA" w:rsidRDefault="005629AA" w:rsidP="005629AA">
      <w:r>
        <w:t>(...)</w:t>
      </w:r>
    </w:p>
    <w:p w:rsidR="005629AA" w:rsidRDefault="005629AA" w:rsidP="005629AA">
      <w:r>
        <w:t xml:space="preserve">(2) Zusätzlich zu den Informationen gemäß Absatz 1 stellt der Verantwortliche der betroffenen Person zum Zeitpunkt der Erhebung dieser Daten folgende </w:t>
      </w:r>
      <w:r w:rsidRPr="001F03AF">
        <w:rPr>
          <w:b/>
        </w:rPr>
        <w:t>weitere Informationen</w:t>
      </w:r>
      <w:r>
        <w:t xml:space="preserve"> zur Verfügung, die notwendig sind, um eine faire und transparente Verarbeitung zu gewährleisten:</w:t>
      </w:r>
    </w:p>
    <w:p w:rsidR="005629AA" w:rsidRDefault="005629AA" w:rsidP="001F03AF">
      <w:pPr>
        <w:pStyle w:val="Listenabsatz"/>
        <w:numPr>
          <w:ilvl w:val="0"/>
          <w:numId w:val="18"/>
        </w:numPr>
        <w:tabs>
          <w:tab w:val="clear" w:pos="720"/>
          <w:tab w:val="num" w:pos="567"/>
        </w:tabs>
      </w:pPr>
      <w:r>
        <w:t>- e)</w:t>
      </w:r>
      <w:r>
        <w:t xml:space="preserve"> </w:t>
      </w:r>
      <w:r>
        <w:t>(...)</w:t>
      </w:r>
    </w:p>
    <w:p w:rsidR="005629AA" w:rsidRDefault="005629AA" w:rsidP="001F03AF">
      <w:pPr>
        <w:pStyle w:val="Listenabsatz"/>
        <w:numPr>
          <w:ilvl w:val="0"/>
          <w:numId w:val="19"/>
        </w:numPr>
      </w:pPr>
      <w:r>
        <w:lastRenderedPageBreak/>
        <w:t xml:space="preserve">das Bestehen einer automatisierten Entscheidungsfindung einschließlich </w:t>
      </w:r>
      <w:proofErr w:type="spellStart"/>
      <w:r>
        <w:t>Profiling</w:t>
      </w:r>
      <w:proofErr w:type="spellEnd"/>
      <w:r>
        <w:t xml:space="preserve"> gemäß Artikel 22 Absätze 1 und 4 und - zumindest in diesen Fällen - </w:t>
      </w:r>
      <w:r w:rsidRPr="001F03AF">
        <w:rPr>
          <w:b/>
        </w:rPr>
        <w:t>aussagekräftige Informationen über die involvierte Logik sowie die Tragweite und die angestrebten Auswirkungen</w:t>
      </w:r>
      <w:r>
        <w:t xml:space="preserve"> einer derartigen Verarbeitung </w:t>
      </w:r>
      <w:r w:rsidRPr="001F03AF">
        <w:rPr>
          <w:b/>
        </w:rPr>
        <w:t>für die betroffene Person</w:t>
      </w:r>
      <w:r>
        <w:t>.</w:t>
      </w:r>
    </w:p>
    <w:p w:rsidR="00A72335" w:rsidRDefault="00A72335" w:rsidP="005629AA">
      <w:r w:rsidRPr="00A72335">
        <w:t xml:space="preserve">(3) Beabsichtigt der Verantwortliche, die personenbezogenen Daten für einen </w:t>
      </w:r>
      <w:r w:rsidRPr="001F03AF">
        <w:rPr>
          <w:b/>
        </w:rPr>
        <w:t>anderen Zweck</w:t>
      </w:r>
      <w:r w:rsidRPr="00A72335">
        <w:t xml:space="preserve"> weiterzuverarbeiten als den, für den die personenbezogenen Daten erhoben wurden, so stellt er der betroffenen Person vor dieser Weiterverarbeitung Informationen über diesen anderen Zweck und alle anderen maßgeblichen Informationen gemäß Absatz 2 zur Verfügung. </w:t>
      </w:r>
    </w:p>
    <w:p w:rsidR="005629AA" w:rsidRDefault="005629AA" w:rsidP="001F03AF">
      <w:r>
        <w:t>(...)</w:t>
      </w:r>
    </w:p>
    <w:p w:rsidR="00C50ACE" w:rsidRDefault="00C50ACE" w:rsidP="001F03AF">
      <w:pPr>
        <w:pStyle w:val="berschrift2"/>
      </w:pPr>
      <w:r w:rsidRPr="00C50ACE">
        <w:t xml:space="preserve">Art. 22 DSGVO - Automatisierte Entscheidungen im Einzelfall einschließlich </w:t>
      </w:r>
      <w:proofErr w:type="spellStart"/>
      <w:r w:rsidRPr="00C50ACE">
        <w:t>Profiling</w:t>
      </w:r>
      <w:proofErr w:type="spellEnd"/>
    </w:p>
    <w:p w:rsidR="00000000" w:rsidRPr="00C50ACE" w:rsidRDefault="00F10DDE" w:rsidP="00C50ACE">
      <w:pPr>
        <w:numPr>
          <w:ilvl w:val="0"/>
          <w:numId w:val="15"/>
        </w:numPr>
        <w:tabs>
          <w:tab w:val="num" w:pos="720"/>
        </w:tabs>
      </w:pPr>
      <w:r w:rsidRPr="00C50ACE">
        <w:t xml:space="preserve">Die betroffene Person hat das Recht, </w:t>
      </w:r>
      <w:r w:rsidRPr="001F03AF">
        <w:rPr>
          <w:b/>
        </w:rPr>
        <w:t>nicht einer ausschließlich auf einer automatisierten Verarbeitung</w:t>
      </w:r>
      <w:r w:rsidRPr="00C50ACE">
        <w:t xml:space="preserve"> </w:t>
      </w:r>
      <w:r w:rsidRPr="00C50ACE">
        <w:t xml:space="preserve">- einschließlich </w:t>
      </w:r>
      <w:proofErr w:type="spellStart"/>
      <w:r w:rsidRPr="00C50ACE">
        <w:t>Profiling</w:t>
      </w:r>
      <w:proofErr w:type="spellEnd"/>
      <w:r w:rsidRPr="00C50ACE">
        <w:t xml:space="preserve"> </w:t>
      </w:r>
      <w:r w:rsidRPr="00C50ACE">
        <w:t xml:space="preserve">- beruhenden Entscheidung </w:t>
      </w:r>
      <w:r w:rsidRPr="001F03AF">
        <w:rPr>
          <w:b/>
        </w:rPr>
        <w:t>unterworfen zu werden</w:t>
      </w:r>
      <w:r w:rsidRPr="00C50ACE">
        <w:t xml:space="preserve">, </w:t>
      </w:r>
      <w:r w:rsidRPr="001F03AF">
        <w:rPr>
          <w:b/>
        </w:rPr>
        <w:t xml:space="preserve">die ihr </w:t>
      </w:r>
      <w:proofErr w:type="gramStart"/>
      <w:r w:rsidRPr="001F03AF">
        <w:rPr>
          <w:b/>
        </w:rPr>
        <w:t>gegenüber rechtliche Wirkung</w:t>
      </w:r>
      <w:proofErr w:type="gramEnd"/>
      <w:r w:rsidRPr="001F03AF">
        <w:rPr>
          <w:b/>
        </w:rPr>
        <w:t xml:space="preserve"> entfaltet oder sie in ähnlicher Weise erheblich beeinträchtigt</w:t>
      </w:r>
      <w:r w:rsidRPr="00C50ACE">
        <w:t>.</w:t>
      </w:r>
    </w:p>
    <w:p w:rsidR="00C50ACE" w:rsidRPr="00C50ACE" w:rsidRDefault="00C50ACE" w:rsidP="00C50ACE">
      <w:r w:rsidRPr="00C50ACE">
        <w:t>(2) Absatz 1 gilt nicht, wenn die Entscheidung</w:t>
      </w:r>
    </w:p>
    <w:p w:rsidR="00000000" w:rsidRPr="00C50ACE" w:rsidRDefault="00F10DDE" w:rsidP="00C50ACE">
      <w:pPr>
        <w:numPr>
          <w:ilvl w:val="0"/>
          <w:numId w:val="16"/>
        </w:numPr>
      </w:pPr>
      <w:r w:rsidRPr="00C50ACE">
        <w:t xml:space="preserve">für den Abschluss oder die </w:t>
      </w:r>
      <w:r w:rsidRPr="00C50ACE">
        <w:rPr>
          <w:b/>
          <w:bCs/>
        </w:rPr>
        <w:t xml:space="preserve">Erfüllung eines Vertrags </w:t>
      </w:r>
      <w:r w:rsidRPr="00C50ACE">
        <w:t>zwischen der betroffenen Person und dem Verantwortlichen erforderlich ist,</w:t>
      </w:r>
    </w:p>
    <w:p w:rsidR="00000000" w:rsidRPr="00C50ACE" w:rsidRDefault="00F10DDE" w:rsidP="00C50ACE">
      <w:pPr>
        <w:numPr>
          <w:ilvl w:val="0"/>
          <w:numId w:val="16"/>
        </w:numPr>
      </w:pPr>
      <w:r w:rsidRPr="00C50ACE">
        <w:t xml:space="preserve">aufgrund von </w:t>
      </w:r>
      <w:r w:rsidRPr="00C50ACE">
        <w:rPr>
          <w:b/>
          <w:bCs/>
        </w:rPr>
        <w:t>Rechtsvo</w:t>
      </w:r>
      <w:r w:rsidRPr="00C50ACE">
        <w:rPr>
          <w:b/>
          <w:bCs/>
        </w:rPr>
        <w:t>rschriften</w:t>
      </w:r>
      <w:r w:rsidRPr="00C50ACE">
        <w:t xml:space="preserve"> der Union oder der Mitgliedstaaten, denen der Verantwortliche unterliegt, zulässig ist und diese Rechtsvorschriften angemessene Maßnahmen zur Wahrung der Rechte und Freiheiten s</w:t>
      </w:r>
      <w:r w:rsidRPr="00C50ACE">
        <w:t>owie der berechtigten Interessen der betroffenen Person enthalten oder</w:t>
      </w:r>
    </w:p>
    <w:p w:rsidR="00000000" w:rsidRDefault="00F10DDE" w:rsidP="00C50ACE">
      <w:pPr>
        <w:numPr>
          <w:ilvl w:val="0"/>
          <w:numId w:val="16"/>
        </w:numPr>
      </w:pPr>
      <w:r w:rsidRPr="00C50ACE">
        <w:t xml:space="preserve">mit </w:t>
      </w:r>
      <w:r w:rsidRPr="00C50ACE">
        <w:rPr>
          <w:b/>
          <w:bCs/>
        </w:rPr>
        <w:t xml:space="preserve">ausdrücklicher Einwilligung </w:t>
      </w:r>
      <w:r w:rsidRPr="00C50ACE">
        <w:t>der betroffenen Person erfolgt.</w:t>
      </w:r>
    </w:p>
    <w:p w:rsidR="005629AA" w:rsidRPr="005629AA" w:rsidRDefault="005629AA" w:rsidP="001F03AF">
      <w:r w:rsidRPr="005629AA">
        <w:t xml:space="preserve">(3) In den in Absatz 2 Buchstaben a und c genannten Fällen trifft der Verantwortliche </w:t>
      </w:r>
      <w:r w:rsidRPr="005629AA">
        <w:rPr>
          <w:b/>
          <w:bCs/>
        </w:rPr>
        <w:t>angemessene Maßnahmen</w:t>
      </w:r>
      <w:r w:rsidRPr="005629AA">
        <w:t xml:space="preserve">, um die Rechte und Freiheiten sowie die berechtigten Interessen der betroffenen Person zu wahren, wozu mindestens das </w:t>
      </w:r>
      <w:r w:rsidRPr="005629AA">
        <w:rPr>
          <w:b/>
          <w:bCs/>
        </w:rPr>
        <w:t xml:space="preserve">Recht auf Erwirkung des Eingreifens einer Person </w:t>
      </w:r>
      <w:r w:rsidRPr="005629AA">
        <w:t>seitens des Verantwortlichen, auf Darlegung des eigenen Standpunkts und auf Anfechtung der Entscheidung gehört.</w:t>
      </w:r>
    </w:p>
    <w:p w:rsidR="005629AA" w:rsidRDefault="005629AA" w:rsidP="005629AA">
      <w:r w:rsidRPr="005629AA">
        <w:t xml:space="preserve">(4) Entscheidungen nach Absatz 2 dürfen nicht auf </w:t>
      </w:r>
      <w:r w:rsidRPr="005629AA">
        <w:rPr>
          <w:b/>
          <w:bCs/>
        </w:rPr>
        <w:t xml:space="preserve">besonderen Kategorien personenbezogener Daten nach Artikel 9 </w:t>
      </w:r>
      <w:r w:rsidRPr="005629AA">
        <w:t xml:space="preserve">Absatz 1 beruhen, </w:t>
      </w:r>
      <w:r w:rsidRPr="005629AA">
        <w:rPr>
          <w:b/>
          <w:bCs/>
        </w:rPr>
        <w:t>sofern nicht Artikel 9 Absatz 2 Buchstabe a oder g</w:t>
      </w:r>
      <w:r w:rsidRPr="005629AA">
        <w:t xml:space="preserve"> gilt und angemessene Maßnahmen zum Schutz der Rechte und Freiheiten sowie der berechtigten Interessen der betroffenen Person getroffen wurden.</w:t>
      </w:r>
    </w:p>
    <w:p w:rsidR="00511972" w:rsidRDefault="00511972" w:rsidP="001F03AF">
      <w:pPr>
        <w:pStyle w:val="berschrift2"/>
      </w:pPr>
      <w:r w:rsidRPr="00511972">
        <w:t>Art. 23 DSGVO – Beschränkungen</w:t>
      </w:r>
    </w:p>
    <w:p w:rsidR="00511972" w:rsidRPr="00511972" w:rsidRDefault="00511972" w:rsidP="00511972">
      <w:r w:rsidRPr="00511972">
        <w:t xml:space="preserve">(1) Durch </w:t>
      </w:r>
      <w:r w:rsidRPr="00511972">
        <w:rPr>
          <w:b/>
          <w:bCs/>
        </w:rPr>
        <w:t>Rechtsvorschriften der Union oder der Mitgliedstaaten</w:t>
      </w:r>
      <w:r w:rsidRPr="00511972">
        <w:t xml:space="preserve">, denen der Verantwortliche oder der Auftragsverarbeiter unterliegt, </w:t>
      </w:r>
      <w:r w:rsidRPr="00511972">
        <w:rPr>
          <w:b/>
          <w:bCs/>
        </w:rPr>
        <w:t xml:space="preserve">können die Pflichten </w:t>
      </w:r>
      <w:r w:rsidRPr="00511972">
        <w:t xml:space="preserve">und Rechte </w:t>
      </w:r>
      <w:r w:rsidRPr="00511972">
        <w:rPr>
          <w:b/>
          <w:bCs/>
        </w:rPr>
        <w:t xml:space="preserve">gemäß den Artikeln 12 bis 22 </w:t>
      </w:r>
      <w:r w:rsidRPr="00511972">
        <w:t xml:space="preserve">und Artikel 34 sowie Artikel 5, insofern dessen Bestimmungen den in den Artikeln 12 bis 22 vorgesehenen Rechten und Pflichten entsprechen, im Wege von Gesetzgebungsmaßnahmen </w:t>
      </w:r>
      <w:r w:rsidRPr="00511972">
        <w:rPr>
          <w:b/>
          <w:bCs/>
        </w:rPr>
        <w:t>beschränkt werden</w:t>
      </w:r>
      <w:r w:rsidRPr="00511972">
        <w:t>, sofern eine solche Beschränkung den Wesensgehalt der Grundrechte und Grundfreiheiten achtet und in einer demokratischen Gesellschaft eine notwendige und verhältnismäßige Maßnahme darstellt, die Folgendes sicherstellt:</w:t>
      </w:r>
    </w:p>
    <w:p w:rsidR="00000000" w:rsidRPr="00511972" w:rsidRDefault="00F10DDE" w:rsidP="00511972">
      <w:pPr>
        <w:numPr>
          <w:ilvl w:val="0"/>
          <w:numId w:val="22"/>
        </w:numPr>
      </w:pPr>
      <w:r w:rsidRPr="00511972">
        <w:t xml:space="preserve">die </w:t>
      </w:r>
      <w:r w:rsidRPr="00511972">
        <w:rPr>
          <w:b/>
          <w:bCs/>
        </w:rPr>
        <w:t>nationale Sicherheit</w:t>
      </w:r>
      <w:r w:rsidRPr="00511972">
        <w:t>;</w:t>
      </w:r>
    </w:p>
    <w:p w:rsidR="00000000" w:rsidRPr="00511972" w:rsidRDefault="00F10DDE" w:rsidP="00511972">
      <w:pPr>
        <w:numPr>
          <w:ilvl w:val="0"/>
          <w:numId w:val="22"/>
        </w:numPr>
      </w:pPr>
      <w:r w:rsidRPr="00511972">
        <w:t xml:space="preserve">die </w:t>
      </w:r>
      <w:r w:rsidRPr="00511972">
        <w:rPr>
          <w:b/>
          <w:bCs/>
        </w:rPr>
        <w:t>Landesverteidigung</w:t>
      </w:r>
      <w:r w:rsidRPr="00511972">
        <w:t>;</w:t>
      </w:r>
    </w:p>
    <w:p w:rsidR="00000000" w:rsidRPr="00511972" w:rsidRDefault="00F10DDE" w:rsidP="00511972">
      <w:pPr>
        <w:numPr>
          <w:ilvl w:val="0"/>
          <w:numId w:val="22"/>
        </w:numPr>
      </w:pPr>
      <w:r w:rsidRPr="00511972">
        <w:t xml:space="preserve">die </w:t>
      </w:r>
      <w:r w:rsidRPr="00511972">
        <w:rPr>
          <w:b/>
          <w:bCs/>
        </w:rPr>
        <w:t>öffentliche Sicherheit</w:t>
      </w:r>
      <w:r w:rsidRPr="00511972">
        <w:t>;</w:t>
      </w:r>
    </w:p>
    <w:p w:rsidR="00000000" w:rsidRPr="00511972" w:rsidRDefault="00F10DDE" w:rsidP="00511972">
      <w:pPr>
        <w:numPr>
          <w:ilvl w:val="0"/>
          <w:numId w:val="22"/>
        </w:numPr>
      </w:pPr>
      <w:r w:rsidRPr="00511972">
        <w:lastRenderedPageBreak/>
        <w:t xml:space="preserve">die </w:t>
      </w:r>
      <w:r w:rsidRPr="00511972">
        <w:rPr>
          <w:b/>
          <w:bCs/>
        </w:rPr>
        <w:t>Verhütung, Ermittlung, Aufdeckung oder Verfolgung von Straftaten oder die Strafvollstreckung</w:t>
      </w:r>
      <w:r w:rsidRPr="00511972">
        <w:t>, einschließlich des Schutzes vor und der Abwehr von Gefahren für die öffentliche Sicherheit;</w:t>
      </w:r>
    </w:p>
    <w:p w:rsidR="00000000" w:rsidRPr="00511972" w:rsidRDefault="00F10DDE" w:rsidP="00511972">
      <w:pPr>
        <w:numPr>
          <w:ilvl w:val="0"/>
          <w:numId w:val="22"/>
        </w:numPr>
      </w:pPr>
      <w:r w:rsidRPr="00511972">
        <w:t xml:space="preserve">den </w:t>
      </w:r>
      <w:r w:rsidRPr="00511972">
        <w:rPr>
          <w:b/>
          <w:bCs/>
        </w:rPr>
        <w:t xml:space="preserve">Schutz sonstiger wichtiger Ziele des allgemeinen öffentlichen Interesses der Union </w:t>
      </w:r>
      <w:r w:rsidRPr="00511972">
        <w:t>oder eines Mitgliedstaats, insbesondere eines wichtigen wirtschaftlichen oder finan</w:t>
      </w:r>
      <w:r w:rsidRPr="00511972">
        <w:t>ziellen Interesses der Union oder eines Mitgliedstaats, etwa im Währungs-, Haushalts- und Steuerbereich sowie im Bereich der öffentlichen Gesundheit und der sozialen Sicherheit;</w:t>
      </w:r>
    </w:p>
    <w:p w:rsidR="00000000" w:rsidRPr="00511972" w:rsidRDefault="00F10DDE" w:rsidP="00511972">
      <w:pPr>
        <w:numPr>
          <w:ilvl w:val="0"/>
          <w:numId w:val="22"/>
        </w:numPr>
      </w:pPr>
      <w:r w:rsidRPr="00511972">
        <w:t xml:space="preserve">den Schutz der </w:t>
      </w:r>
      <w:r w:rsidRPr="00511972">
        <w:rPr>
          <w:b/>
          <w:bCs/>
        </w:rPr>
        <w:t>Unabhängigkeit der Justiz</w:t>
      </w:r>
      <w:r w:rsidRPr="00511972">
        <w:t xml:space="preserve"> </w:t>
      </w:r>
      <w:r w:rsidRPr="00511972">
        <w:t>und den Schutz vo</w:t>
      </w:r>
      <w:r w:rsidRPr="00511972">
        <w:t>n Gerichtsverfahren;</w:t>
      </w:r>
    </w:p>
    <w:p w:rsidR="00000000" w:rsidRPr="00511972" w:rsidRDefault="00F10DDE" w:rsidP="00511972">
      <w:pPr>
        <w:numPr>
          <w:ilvl w:val="0"/>
          <w:numId w:val="22"/>
        </w:numPr>
      </w:pPr>
      <w:r w:rsidRPr="00511972">
        <w:t xml:space="preserve">die Verhütung, Aufdeckung, Ermittlung und Verfolgung von Verstößen gegen die </w:t>
      </w:r>
      <w:r w:rsidRPr="00511972">
        <w:rPr>
          <w:b/>
          <w:bCs/>
        </w:rPr>
        <w:t>berufsständischen Regeln r</w:t>
      </w:r>
      <w:r w:rsidRPr="00511972">
        <w:rPr>
          <w:b/>
          <w:bCs/>
        </w:rPr>
        <w:t>eglementierter Berufe</w:t>
      </w:r>
      <w:r w:rsidRPr="00511972">
        <w:t>;</w:t>
      </w:r>
    </w:p>
    <w:p w:rsidR="00000000" w:rsidRPr="00511972" w:rsidRDefault="00F10DDE" w:rsidP="00511972">
      <w:pPr>
        <w:numPr>
          <w:ilvl w:val="0"/>
          <w:numId w:val="22"/>
        </w:numPr>
      </w:pPr>
      <w:r w:rsidRPr="00511972">
        <w:t xml:space="preserve">Kontroll-, Überwachungs- und Ordnungsfunktionen, die dauernd oder zeitweise mit der Ausübung </w:t>
      </w:r>
      <w:r w:rsidRPr="00511972">
        <w:rPr>
          <w:b/>
          <w:bCs/>
        </w:rPr>
        <w:t>öffentlicher Gewalt</w:t>
      </w:r>
      <w:r w:rsidRPr="00511972">
        <w:rPr>
          <w:b/>
          <w:bCs/>
        </w:rPr>
        <w:t xml:space="preserve"> </w:t>
      </w:r>
      <w:r w:rsidRPr="00511972">
        <w:t>für die unter den Buchstaben a bis e und</w:t>
      </w:r>
      <w:r w:rsidRPr="00511972">
        <w:t xml:space="preserve"> g genannten Zwecke verbunden sind;</w:t>
      </w:r>
    </w:p>
    <w:p w:rsidR="00000000" w:rsidRPr="00511972" w:rsidRDefault="00F10DDE" w:rsidP="00511972">
      <w:pPr>
        <w:numPr>
          <w:ilvl w:val="0"/>
          <w:numId w:val="22"/>
        </w:numPr>
      </w:pPr>
      <w:r w:rsidRPr="00511972">
        <w:t xml:space="preserve">den </w:t>
      </w:r>
      <w:r w:rsidRPr="00511972">
        <w:rPr>
          <w:b/>
          <w:bCs/>
        </w:rPr>
        <w:t xml:space="preserve">Schutz der betroffenen Person </w:t>
      </w:r>
      <w:r w:rsidRPr="00511972">
        <w:t xml:space="preserve">oder der </w:t>
      </w:r>
      <w:r w:rsidRPr="00511972">
        <w:rPr>
          <w:b/>
          <w:bCs/>
        </w:rPr>
        <w:t>Rechte und Freiheiten anderer Personen</w:t>
      </w:r>
      <w:r w:rsidRPr="00511972">
        <w:t>;</w:t>
      </w:r>
    </w:p>
    <w:p w:rsidR="00000000" w:rsidRPr="00511972" w:rsidRDefault="00F10DDE" w:rsidP="00511972">
      <w:pPr>
        <w:numPr>
          <w:ilvl w:val="0"/>
          <w:numId w:val="22"/>
        </w:numPr>
      </w:pPr>
      <w:r w:rsidRPr="00511972">
        <w:t xml:space="preserve">die </w:t>
      </w:r>
      <w:r w:rsidRPr="00511972">
        <w:rPr>
          <w:b/>
          <w:bCs/>
        </w:rPr>
        <w:t>Durchsetzung zivilrechtlicher Ansprüche</w:t>
      </w:r>
      <w:r w:rsidRPr="00511972">
        <w:t>.</w:t>
      </w:r>
    </w:p>
    <w:p w:rsidR="00C50ACE" w:rsidRPr="001F03AF" w:rsidRDefault="00C50ACE" w:rsidP="001F03AF"/>
    <w:sectPr w:rsidR="00C50ACE" w:rsidRPr="001F03AF" w:rsidSect="00D63994">
      <w:footerReference w:type="default" r:id="rId13"/>
      <w:pgSz w:w="11906" w:h="16838"/>
      <w:pgMar w:top="993" w:right="1417" w:bottom="993" w:left="1417" w:header="708" w:footer="1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B6E" w:rsidRDefault="00E03B6E" w:rsidP="003E3A51">
      <w:pPr>
        <w:spacing w:after="0" w:line="240" w:lineRule="auto"/>
      </w:pPr>
      <w:r>
        <w:separator/>
      </w:r>
    </w:p>
  </w:endnote>
  <w:endnote w:type="continuationSeparator" w:id="0">
    <w:p w:rsidR="00E03B6E" w:rsidRDefault="00E03B6E" w:rsidP="003E3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994" w:rsidRPr="00D63994" w:rsidRDefault="006C07B3">
    <w:pPr>
      <w:pStyle w:val="Fuzeile"/>
      <w:rPr>
        <w:sz w:val="18"/>
      </w:rPr>
    </w:pPr>
    <w:r>
      <w:rPr>
        <w:sz w:val="18"/>
      </w:rPr>
      <w:t xml:space="preserve">Dr. Mattis Neiling, TU Berlin: </w:t>
    </w:r>
    <w:r w:rsidR="00D63994" w:rsidRPr="00D63994">
      <w:rPr>
        <w:sz w:val="18"/>
      </w:rPr>
      <w:t xml:space="preserve">Prüfschema für </w:t>
    </w:r>
    <w:r>
      <w:rPr>
        <w:sz w:val="18"/>
      </w:rPr>
      <w:t xml:space="preserve">automatische Entscheidungsfindungen nach </w:t>
    </w:r>
    <w:r w:rsidR="00D63994" w:rsidRPr="00D63994">
      <w:rPr>
        <w:sz w:val="18"/>
      </w:rPr>
      <w:t xml:space="preserve">Artikel 22 DSGVO - Seite </w:t>
    </w:r>
    <w:sdt>
      <w:sdtPr>
        <w:rPr>
          <w:sz w:val="18"/>
        </w:rPr>
        <w:id w:val="1368254493"/>
        <w:docPartObj>
          <w:docPartGallery w:val="Page Numbers (Bottom of Page)"/>
          <w:docPartUnique/>
        </w:docPartObj>
      </w:sdtPr>
      <w:sdtEndPr/>
      <w:sdtContent>
        <w:r w:rsidR="00D63994" w:rsidRPr="00D63994">
          <w:rPr>
            <w:sz w:val="18"/>
          </w:rPr>
          <w:fldChar w:fldCharType="begin"/>
        </w:r>
        <w:r w:rsidR="00D63994" w:rsidRPr="00D63994">
          <w:rPr>
            <w:sz w:val="18"/>
          </w:rPr>
          <w:instrText>PAGE   \* MERGEFORMAT</w:instrText>
        </w:r>
        <w:r w:rsidR="00D63994" w:rsidRPr="00D63994">
          <w:rPr>
            <w:sz w:val="18"/>
          </w:rPr>
          <w:fldChar w:fldCharType="separate"/>
        </w:r>
        <w:r w:rsidR="00182809">
          <w:rPr>
            <w:noProof/>
            <w:sz w:val="18"/>
          </w:rPr>
          <w:t>5</w:t>
        </w:r>
        <w:r w:rsidR="00D63994" w:rsidRPr="00D63994">
          <w:rPr>
            <w:sz w:val="18"/>
          </w:rPr>
          <w:fldChar w:fldCharType="end"/>
        </w:r>
        <w:r w:rsidR="00D63994" w:rsidRPr="00D63994">
          <w:rPr>
            <w:sz w:val="18"/>
          </w:rPr>
          <w:t xml:space="preserve"> </w:t>
        </w:r>
      </w:sdtContent>
    </w:sdt>
  </w:p>
  <w:p w:rsidR="00F6134F" w:rsidRPr="00F6134F" w:rsidRDefault="00F6134F">
    <w:pPr>
      <w:pStyle w:val="Fuzeile"/>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B6E" w:rsidRDefault="00E03B6E" w:rsidP="003E3A51">
      <w:pPr>
        <w:spacing w:after="0" w:line="240" w:lineRule="auto"/>
      </w:pPr>
      <w:r>
        <w:separator/>
      </w:r>
    </w:p>
  </w:footnote>
  <w:footnote w:type="continuationSeparator" w:id="0">
    <w:p w:rsidR="00E03B6E" w:rsidRDefault="00E03B6E" w:rsidP="003E3A51">
      <w:pPr>
        <w:spacing w:after="0" w:line="240" w:lineRule="auto"/>
      </w:pPr>
      <w:r>
        <w:continuationSeparator/>
      </w:r>
    </w:p>
  </w:footnote>
  <w:footnote w:id="1">
    <w:p w:rsidR="003D5F9E" w:rsidRDefault="003D5F9E">
      <w:pPr>
        <w:pStyle w:val="Funotentext"/>
      </w:pPr>
      <w:r>
        <w:rPr>
          <w:rStyle w:val="Funotenzeichen"/>
        </w:rPr>
        <w:footnoteRef/>
      </w:r>
      <w:r>
        <w:t xml:space="preserve"> </w:t>
      </w:r>
      <w:hyperlink r:id="rId1" w:history="1">
        <w:r w:rsidRPr="00D079C7">
          <w:rPr>
            <w:rStyle w:val="Hyperlink"/>
          </w:rPr>
          <w:t>https://www.bvdnet.de/de/bvd-news/</w:t>
        </w:r>
      </w:hyperlink>
      <w:r>
        <w:t xml:space="preserve"> </w:t>
      </w:r>
    </w:p>
  </w:footnote>
  <w:footnote w:id="2">
    <w:p w:rsidR="008A5BB1" w:rsidRDefault="008A5BB1" w:rsidP="00F6134F">
      <w:pPr>
        <w:rPr>
          <w:lang w:eastAsia="de-DE"/>
        </w:rPr>
      </w:pPr>
      <w:r>
        <w:rPr>
          <w:rStyle w:val="Funotenzeichen"/>
        </w:rPr>
        <w:footnoteRef/>
      </w:r>
      <w:r>
        <w:t xml:space="preserve"> </w:t>
      </w:r>
      <w:r w:rsidR="00311300">
        <w:rPr>
          <w:lang w:eastAsia="de-DE"/>
        </w:rPr>
        <w:t xml:space="preserve">Das Prüfschema ergänzt die Beschreibung der Verarbeitungstätigkeit gemäß Artikel 30 DSGVO. </w:t>
      </w:r>
    </w:p>
  </w:footnote>
  <w:footnote w:id="3">
    <w:p w:rsidR="001F7973" w:rsidRDefault="001F7973" w:rsidP="001F7973">
      <w:pPr>
        <w:pStyle w:val="Funotentext"/>
      </w:pPr>
      <w:r>
        <w:rPr>
          <w:rStyle w:val="Funotenzeichen"/>
        </w:rPr>
        <w:footnoteRef/>
      </w:r>
      <w:r>
        <w:t xml:space="preserve"> EG 71 siehe </w:t>
      </w:r>
      <w:r w:rsidR="00A72CB5">
        <w:t xml:space="preserve">Anhang </w:t>
      </w:r>
    </w:p>
  </w:footnote>
  <w:footnote w:id="4">
    <w:p w:rsidR="00A72CB5" w:rsidRPr="005629AA" w:rsidRDefault="00A72CB5" w:rsidP="00A72CB5">
      <w:pPr>
        <w:pStyle w:val="Funotentext"/>
      </w:pPr>
      <w:r>
        <w:rPr>
          <w:rStyle w:val="Funotenzeichen"/>
        </w:rPr>
        <w:footnoteRef/>
      </w:r>
      <w:r>
        <w:t xml:space="preserve"> Die Leitlinien des EPDB sind zu finden unter: </w:t>
      </w:r>
      <w:r w:rsidRPr="005629AA">
        <w:t xml:space="preserve">Artikel-29-Gruppe: WP251rev.01 - Leitlinien zu automatisierten Entscheidungen im Einzelfall einschließlich </w:t>
      </w:r>
      <w:proofErr w:type="spellStart"/>
      <w:r w:rsidRPr="005629AA">
        <w:t>Profiling</w:t>
      </w:r>
      <w:proofErr w:type="spellEnd"/>
      <w:r w:rsidRPr="005629AA">
        <w:t xml:space="preserve"> für die Zwecke der Verordnung 2016/679, </w:t>
      </w:r>
      <w:hyperlink r:id="rId2" w:history="1">
        <w:r w:rsidRPr="005629AA">
          <w:rPr>
            <w:rStyle w:val="Hyperlink"/>
          </w:rPr>
          <w:t>www.datenschutzkonferenz-online.de/media/wp/20180206_wp251_rev01.docx</w:t>
        </w:r>
      </w:hyperlink>
      <w:r w:rsidRPr="005629AA">
        <w:t xml:space="preserve"> </w:t>
      </w:r>
    </w:p>
    <w:p w:rsidR="00A72CB5" w:rsidRDefault="00A72CB5" w:rsidP="00A72CB5">
      <w:pPr>
        <w:pStyle w:val="Funotentext"/>
      </w:pPr>
    </w:p>
  </w:footnote>
  <w:footnote w:id="5">
    <w:p w:rsidR="000007CA" w:rsidRDefault="000007CA">
      <w:pPr>
        <w:pStyle w:val="Funotentext"/>
      </w:pPr>
      <w:r>
        <w:rPr>
          <w:rStyle w:val="Funotenzeichen"/>
        </w:rPr>
        <w:footnoteRef/>
      </w:r>
      <w:r>
        <w:t xml:space="preserve"> Pressemitteilung </w:t>
      </w:r>
      <w:proofErr w:type="gramStart"/>
      <w:r>
        <w:t>des EuGH</w:t>
      </w:r>
      <w:proofErr w:type="gramEnd"/>
      <w:r>
        <w:t xml:space="preserve">: </w:t>
      </w:r>
      <w:hyperlink r:id="rId3" w:history="1">
        <w:r w:rsidRPr="00C94691">
          <w:rPr>
            <w:rStyle w:val="Hyperlink"/>
          </w:rPr>
          <w:t>https://curia.europa.eu/jcms/upload/docs/application/pdf/2023-12/cp230186de.pdf</w:t>
        </w:r>
      </w:hyperlink>
      <w:r>
        <w:t xml:space="preserve"> </w:t>
      </w:r>
      <w:r w:rsidRPr="000007CA">
        <w:t xml:space="preserve"> </w:t>
      </w:r>
    </w:p>
    <w:p w:rsidR="000007CA" w:rsidRDefault="000007CA">
      <w:pPr>
        <w:pStyle w:val="Funotentext"/>
      </w:pPr>
      <w:r>
        <w:t xml:space="preserve">Urteil des EuGH </w:t>
      </w:r>
      <w:r w:rsidR="00D63994">
        <w:t>in der Rechtssache</w:t>
      </w:r>
      <w:r>
        <w:t xml:space="preserve"> C-634/21 </w:t>
      </w:r>
      <w:hyperlink r:id="rId4" w:history="1">
        <w:r w:rsidRPr="00C94691">
          <w:rPr>
            <w:rStyle w:val="Hyperlink"/>
          </w:rPr>
          <w:t>https://curia.europa.eu/juris/document/document.jsf?docid=280426&amp;mode=req&amp;pageIndex=1&amp;dir=&amp;occ=first&amp;part=1&amp;text=&amp;doclang=DE&amp;cid=874894</w:t>
        </w:r>
      </w:hyperlink>
      <w:r>
        <w:t xml:space="preserve"> </w:t>
      </w:r>
    </w:p>
  </w:footnote>
  <w:footnote w:id="6">
    <w:p w:rsidR="00F6134F" w:rsidRDefault="00F6134F">
      <w:pPr>
        <w:pStyle w:val="Funotentext"/>
      </w:pPr>
      <w:r>
        <w:rPr>
          <w:rStyle w:val="Funotenzeichen"/>
        </w:rPr>
        <w:footnoteRef/>
      </w:r>
      <w:r>
        <w:t xml:space="preserve"> </w:t>
      </w:r>
      <w:hyperlink r:id="rId5" w:history="1">
        <w:r w:rsidRPr="00C94691">
          <w:rPr>
            <w:rStyle w:val="Hyperlink"/>
          </w:rPr>
          <w:t>https://dejure.org/gesetze/DSGVO/9.html</w:t>
        </w:r>
      </w:hyperlink>
      <w:r>
        <w:t xml:space="preserve"> </w:t>
      </w:r>
    </w:p>
  </w:footnote>
  <w:footnote w:id="7">
    <w:p w:rsidR="003E3A51" w:rsidRDefault="003E3A51" w:rsidP="003E3A51">
      <w:pPr>
        <w:pStyle w:val="Funotentext"/>
      </w:pPr>
      <w:r>
        <w:rPr>
          <w:rStyle w:val="Funotenzeichen"/>
        </w:rPr>
        <w:footnoteRef/>
      </w:r>
      <w:r>
        <w:t xml:space="preserve"> Vgl. dazu auch das Urteil </w:t>
      </w:r>
      <w:proofErr w:type="gramStart"/>
      <w:r>
        <w:t>des EuGH</w:t>
      </w:r>
      <w:proofErr w:type="gramEnd"/>
      <w:r>
        <w:t xml:space="preserve"> in der Rechtssache C 203/22 | Dun &amp; Bradstreet Austria:</w:t>
      </w:r>
    </w:p>
    <w:p w:rsidR="003E3A51" w:rsidRDefault="003E3A51" w:rsidP="003E3A51">
      <w:pPr>
        <w:pStyle w:val="Funotentext"/>
      </w:pPr>
      <w:r>
        <w:t>Automatisierte Bonitätsbeurteilung: Die betroffene Person hat das Recht, zu erfahren,</w:t>
      </w:r>
    </w:p>
    <w:p w:rsidR="003E3A51" w:rsidRDefault="003E3A51" w:rsidP="003E3A51">
      <w:pPr>
        <w:pStyle w:val="Funotentext"/>
      </w:pPr>
      <w:r>
        <w:t>wie die sie betreffende Entscheidung zustande kam</w:t>
      </w:r>
    </w:p>
    <w:p w:rsidR="003E3A51" w:rsidRPr="003E3A51" w:rsidRDefault="00F10DDE" w:rsidP="003E3A51">
      <w:pPr>
        <w:pStyle w:val="Funotentext"/>
      </w:pPr>
      <w:hyperlink r:id="rId6" w:history="1">
        <w:r w:rsidR="003E3A51" w:rsidRPr="003E3A51">
          <w:rPr>
            <w:rStyle w:val="Hyperlink"/>
          </w:rPr>
          <w:t>https://curia.europa.eu/juris/documents.jsf?num=C 203/22</w:t>
        </w:r>
      </w:hyperlink>
    </w:p>
  </w:footnote>
  <w:footnote w:id="8">
    <w:p w:rsidR="00754477" w:rsidRDefault="00754477" w:rsidP="001F03AF">
      <w:r>
        <w:rPr>
          <w:rStyle w:val="Funotenzeichen"/>
        </w:rPr>
        <w:footnoteRef/>
      </w:r>
      <w:r>
        <w:t xml:space="preserve"> </w:t>
      </w:r>
      <w:r w:rsidRPr="001F03AF">
        <w:rPr>
          <w:sz w:val="20"/>
          <w:szCs w:val="20"/>
        </w:rPr>
        <w:t xml:space="preserve">Siehe </w:t>
      </w:r>
      <w:hyperlink r:id="rId7" w:history="1">
        <w:r w:rsidRPr="001F03AF">
          <w:rPr>
            <w:sz w:val="20"/>
            <w:szCs w:val="20"/>
          </w:rPr>
          <w:t>https://eur-lex.europa.eu/legal-content/DE/TXT/HTML/?uri=OJ:L_202401689</w:t>
        </w:r>
      </w:hyperlink>
      <w:r>
        <w:rPr>
          <w:sz w:val="20"/>
          <w:szCs w:val="20"/>
        </w:rPr>
        <w:t xml:space="preserve"> </w:t>
      </w:r>
      <w:r w:rsidRPr="001F03AF">
        <w:rPr>
          <w:sz w:val="20"/>
          <w:szCs w:val="20"/>
        </w:rPr>
        <w:t xml:space="preserve"> </w:t>
      </w:r>
      <w:r w:rsidRPr="001F03AF">
        <w:rPr>
          <w:sz w:val="20"/>
          <w:szCs w:val="20"/>
        </w:rPr>
        <w:br/>
      </w:r>
      <w:r w:rsidRPr="001F03AF">
        <w:rPr>
          <w:sz w:val="20"/>
          <w:szCs w:val="20"/>
        </w:rPr>
        <w:t xml:space="preserve">Die Dokumentation der Prüfung sprengt den Rahmen dieses Prüfschemas. Es sei auf entsprechende Leitfäden und Hinweise verwiesen, bspw. </w:t>
      </w:r>
      <w:proofErr w:type="gramStart"/>
      <w:r w:rsidRPr="001F03AF">
        <w:rPr>
          <w:sz w:val="20"/>
          <w:szCs w:val="20"/>
        </w:rPr>
        <w:t>des  Bitkom</w:t>
      </w:r>
      <w:proofErr w:type="gramEnd"/>
      <w:r w:rsidRPr="001F03AF">
        <w:rPr>
          <w:sz w:val="20"/>
          <w:szCs w:val="20"/>
        </w:rPr>
        <w:t xml:space="preserve"> e.V. </w:t>
      </w:r>
      <w:hyperlink r:id="rId8" w:history="1">
        <w:r w:rsidRPr="001F03AF">
          <w:rPr>
            <w:sz w:val="20"/>
            <w:szCs w:val="20"/>
          </w:rPr>
          <w:t>https://www.bitkom.org/Klick-Tool-Umsetzungsleitfaden-KI-Verordnung</w:t>
        </w:r>
      </w:hyperlink>
      <w:r>
        <w:t xml:space="preserve"> </w:t>
      </w:r>
    </w:p>
    <w:p w:rsidR="00754477" w:rsidRDefault="00754477">
      <w:pPr>
        <w:pStyle w:val="Funotentext"/>
      </w:pPr>
    </w:p>
  </w:footnote>
  <w:footnote w:id="9">
    <w:p w:rsidR="00000000" w:rsidRPr="005629AA" w:rsidRDefault="005629AA" w:rsidP="001F03AF">
      <w:pPr>
        <w:pStyle w:val="Funotentext"/>
      </w:pPr>
      <w:r>
        <w:rPr>
          <w:rStyle w:val="Funotenzeichen"/>
        </w:rPr>
        <w:footnoteRef/>
      </w:r>
      <w:r>
        <w:t xml:space="preserve"> Die Leitlinien des EPDB sind zu finden unter: </w:t>
      </w:r>
      <w:r w:rsidR="00F10DDE" w:rsidRPr="005629AA">
        <w:t>Artikel-29-Gruppe: WP251rev.01 - L</w:t>
      </w:r>
      <w:r w:rsidR="00F10DDE" w:rsidRPr="005629AA">
        <w:t xml:space="preserve">eitlinien zu automatisierten Entscheidungen im Einzelfall einschließlich </w:t>
      </w:r>
      <w:proofErr w:type="spellStart"/>
      <w:r w:rsidR="00F10DDE" w:rsidRPr="005629AA">
        <w:t>Profiling</w:t>
      </w:r>
      <w:proofErr w:type="spellEnd"/>
      <w:r w:rsidR="00F10DDE" w:rsidRPr="005629AA">
        <w:t xml:space="preserve"> für die Zwecke der Verordnung 2016/679, </w:t>
      </w:r>
      <w:hyperlink r:id="rId9" w:history="1">
        <w:r w:rsidR="00F10DDE" w:rsidRPr="005629AA">
          <w:rPr>
            <w:rStyle w:val="Hyperlink"/>
          </w:rPr>
          <w:t>www.datenschutzkonferenz-o</w:t>
        </w:r>
        <w:r w:rsidR="00F10DDE" w:rsidRPr="005629AA">
          <w:rPr>
            <w:rStyle w:val="Hyperlink"/>
          </w:rPr>
          <w:t>nline.de/media/wp/20180206_wp251_rev01.docx</w:t>
        </w:r>
      </w:hyperlink>
      <w:r w:rsidR="00F10DDE" w:rsidRPr="005629AA">
        <w:t xml:space="preserve"> </w:t>
      </w:r>
    </w:p>
    <w:p w:rsidR="005629AA" w:rsidRDefault="005629AA">
      <w:pPr>
        <w:pStyle w:val="Funoten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A3D6B"/>
    <w:multiLevelType w:val="hybridMultilevel"/>
    <w:tmpl w:val="DB18CDD6"/>
    <w:lvl w:ilvl="0" w:tplc="3A0EBC8A">
      <w:start w:val="1"/>
      <w:numFmt w:val="decimal"/>
      <w:lvlText w:val="(%1)"/>
      <w:lvlJc w:val="left"/>
      <w:pPr>
        <w:tabs>
          <w:tab w:val="num" w:pos="360"/>
        </w:tabs>
        <w:ind w:left="360" w:hanging="360"/>
      </w:pPr>
    </w:lvl>
    <w:lvl w:ilvl="1" w:tplc="8F649B1A" w:tentative="1">
      <w:start w:val="1"/>
      <w:numFmt w:val="decimal"/>
      <w:lvlText w:val="(%2)"/>
      <w:lvlJc w:val="left"/>
      <w:pPr>
        <w:tabs>
          <w:tab w:val="num" w:pos="1080"/>
        </w:tabs>
        <w:ind w:left="1080" w:hanging="360"/>
      </w:pPr>
    </w:lvl>
    <w:lvl w:ilvl="2" w:tplc="E4BA7398" w:tentative="1">
      <w:start w:val="1"/>
      <w:numFmt w:val="decimal"/>
      <w:lvlText w:val="(%3)"/>
      <w:lvlJc w:val="left"/>
      <w:pPr>
        <w:tabs>
          <w:tab w:val="num" w:pos="1800"/>
        </w:tabs>
        <w:ind w:left="1800" w:hanging="360"/>
      </w:pPr>
    </w:lvl>
    <w:lvl w:ilvl="3" w:tplc="F7AC2010" w:tentative="1">
      <w:start w:val="1"/>
      <w:numFmt w:val="decimal"/>
      <w:lvlText w:val="(%4)"/>
      <w:lvlJc w:val="left"/>
      <w:pPr>
        <w:tabs>
          <w:tab w:val="num" w:pos="2520"/>
        </w:tabs>
        <w:ind w:left="2520" w:hanging="360"/>
      </w:pPr>
    </w:lvl>
    <w:lvl w:ilvl="4" w:tplc="78EEA8EC" w:tentative="1">
      <w:start w:val="1"/>
      <w:numFmt w:val="decimal"/>
      <w:lvlText w:val="(%5)"/>
      <w:lvlJc w:val="left"/>
      <w:pPr>
        <w:tabs>
          <w:tab w:val="num" w:pos="3240"/>
        </w:tabs>
        <w:ind w:left="3240" w:hanging="360"/>
      </w:pPr>
    </w:lvl>
    <w:lvl w:ilvl="5" w:tplc="0F06C7B6" w:tentative="1">
      <w:start w:val="1"/>
      <w:numFmt w:val="decimal"/>
      <w:lvlText w:val="(%6)"/>
      <w:lvlJc w:val="left"/>
      <w:pPr>
        <w:tabs>
          <w:tab w:val="num" w:pos="3960"/>
        </w:tabs>
        <w:ind w:left="3960" w:hanging="360"/>
      </w:pPr>
    </w:lvl>
    <w:lvl w:ilvl="6" w:tplc="155A6FE0" w:tentative="1">
      <w:start w:val="1"/>
      <w:numFmt w:val="decimal"/>
      <w:lvlText w:val="(%7)"/>
      <w:lvlJc w:val="left"/>
      <w:pPr>
        <w:tabs>
          <w:tab w:val="num" w:pos="4680"/>
        </w:tabs>
        <w:ind w:left="4680" w:hanging="360"/>
      </w:pPr>
    </w:lvl>
    <w:lvl w:ilvl="7" w:tplc="58008488" w:tentative="1">
      <w:start w:val="1"/>
      <w:numFmt w:val="decimal"/>
      <w:lvlText w:val="(%8)"/>
      <w:lvlJc w:val="left"/>
      <w:pPr>
        <w:tabs>
          <w:tab w:val="num" w:pos="5400"/>
        </w:tabs>
        <w:ind w:left="5400" w:hanging="360"/>
      </w:pPr>
    </w:lvl>
    <w:lvl w:ilvl="8" w:tplc="C19E7A0C" w:tentative="1">
      <w:start w:val="1"/>
      <w:numFmt w:val="decimal"/>
      <w:lvlText w:val="(%9)"/>
      <w:lvlJc w:val="left"/>
      <w:pPr>
        <w:tabs>
          <w:tab w:val="num" w:pos="6120"/>
        </w:tabs>
        <w:ind w:left="6120" w:hanging="360"/>
      </w:pPr>
    </w:lvl>
  </w:abstractNum>
  <w:abstractNum w:abstractNumId="1" w15:restartNumberingAfterBreak="0">
    <w:nsid w:val="11215494"/>
    <w:multiLevelType w:val="hybridMultilevel"/>
    <w:tmpl w:val="AF20D162"/>
    <w:lvl w:ilvl="0" w:tplc="E6C822F6">
      <w:start w:val="1"/>
      <w:numFmt w:val="upperLetter"/>
      <w:lvlText w:val="%1)"/>
      <w:lvlJc w:val="left"/>
      <w:pPr>
        <w:ind w:left="360" w:hanging="360"/>
      </w:pPr>
      <w:rPr>
        <w:rFonts w:eastAsia="Times New Roman" w:cstheme="minorHAnsi"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F6D5FBC"/>
    <w:multiLevelType w:val="hybridMultilevel"/>
    <w:tmpl w:val="0562E63E"/>
    <w:lvl w:ilvl="0" w:tplc="5E2C4218">
      <w:start w:val="1"/>
      <w:numFmt w:val="lowerLetter"/>
      <w:lvlText w:val="%1)"/>
      <w:lvlJc w:val="left"/>
      <w:pPr>
        <w:tabs>
          <w:tab w:val="num" w:pos="720"/>
        </w:tabs>
        <w:ind w:left="720" w:hanging="360"/>
      </w:pPr>
    </w:lvl>
    <w:lvl w:ilvl="1" w:tplc="0B12FF5C" w:tentative="1">
      <w:start w:val="1"/>
      <w:numFmt w:val="lowerLetter"/>
      <w:lvlText w:val="%2)"/>
      <w:lvlJc w:val="left"/>
      <w:pPr>
        <w:tabs>
          <w:tab w:val="num" w:pos="1440"/>
        </w:tabs>
        <w:ind w:left="1440" w:hanging="360"/>
      </w:pPr>
    </w:lvl>
    <w:lvl w:ilvl="2" w:tplc="16AAF13E" w:tentative="1">
      <w:start w:val="1"/>
      <w:numFmt w:val="lowerLetter"/>
      <w:lvlText w:val="%3)"/>
      <w:lvlJc w:val="left"/>
      <w:pPr>
        <w:tabs>
          <w:tab w:val="num" w:pos="2160"/>
        </w:tabs>
        <w:ind w:left="2160" w:hanging="360"/>
      </w:pPr>
    </w:lvl>
    <w:lvl w:ilvl="3" w:tplc="6030716C" w:tentative="1">
      <w:start w:val="1"/>
      <w:numFmt w:val="lowerLetter"/>
      <w:lvlText w:val="%4)"/>
      <w:lvlJc w:val="left"/>
      <w:pPr>
        <w:tabs>
          <w:tab w:val="num" w:pos="2880"/>
        </w:tabs>
        <w:ind w:left="2880" w:hanging="360"/>
      </w:pPr>
    </w:lvl>
    <w:lvl w:ilvl="4" w:tplc="96FCAF74" w:tentative="1">
      <w:start w:val="1"/>
      <w:numFmt w:val="lowerLetter"/>
      <w:lvlText w:val="%5)"/>
      <w:lvlJc w:val="left"/>
      <w:pPr>
        <w:tabs>
          <w:tab w:val="num" w:pos="3600"/>
        </w:tabs>
        <w:ind w:left="3600" w:hanging="360"/>
      </w:pPr>
    </w:lvl>
    <w:lvl w:ilvl="5" w:tplc="91EA556E" w:tentative="1">
      <w:start w:val="1"/>
      <w:numFmt w:val="lowerLetter"/>
      <w:lvlText w:val="%6)"/>
      <w:lvlJc w:val="left"/>
      <w:pPr>
        <w:tabs>
          <w:tab w:val="num" w:pos="4320"/>
        </w:tabs>
        <w:ind w:left="4320" w:hanging="360"/>
      </w:pPr>
    </w:lvl>
    <w:lvl w:ilvl="6" w:tplc="CDFCC43E" w:tentative="1">
      <w:start w:val="1"/>
      <w:numFmt w:val="lowerLetter"/>
      <w:lvlText w:val="%7)"/>
      <w:lvlJc w:val="left"/>
      <w:pPr>
        <w:tabs>
          <w:tab w:val="num" w:pos="5040"/>
        </w:tabs>
        <w:ind w:left="5040" w:hanging="360"/>
      </w:pPr>
    </w:lvl>
    <w:lvl w:ilvl="7" w:tplc="23865418" w:tentative="1">
      <w:start w:val="1"/>
      <w:numFmt w:val="lowerLetter"/>
      <w:lvlText w:val="%8)"/>
      <w:lvlJc w:val="left"/>
      <w:pPr>
        <w:tabs>
          <w:tab w:val="num" w:pos="5760"/>
        </w:tabs>
        <w:ind w:left="5760" w:hanging="360"/>
      </w:pPr>
    </w:lvl>
    <w:lvl w:ilvl="8" w:tplc="A9B40D10" w:tentative="1">
      <w:start w:val="1"/>
      <w:numFmt w:val="lowerLetter"/>
      <w:lvlText w:val="%9)"/>
      <w:lvlJc w:val="left"/>
      <w:pPr>
        <w:tabs>
          <w:tab w:val="num" w:pos="6480"/>
        </w:tabs>
        <w:ind w:left="6480" w:hanging="360"/>
      </w:pPr>
    </w:lvl>
  </w:abstractNum>
  <w:abstractNum w:abstractNumId="3" w15:restartNumberingAfterBreak="0">
    <w:nsid w:val="20866F07"/>
    <w:multiLevelType w:val="hybridMultilevel"/>
    <w:tmpl w:val="4A0AD388"/>
    <w:lvl w:ilvl="0" w:tplc="B9D25BE2">
      <w:start w:val="1"/>
      <w:numFmt w:val="lowerLetter"/>
      <w:lvlText w:val="%1)"/>
      <w:lvlJc w:val="left"/>
      <w:pPr>
        <w:tabs>
          <w:tab w:val="num" w:pos="720"/>
        </w:tabs>
        <w:ind w:left="720" w:hanging="360"/>
      </w:pPr>
    </w:lvl>
    <w:lvl w:ilvl="1" w:tplc="69904FA2" w:tentative="1">
      <w:start w:val="1"/>
      <w:numFmt w:val="lowerLetter"/>
      <w:lvlText w:val="%2)"/>
      <w:lvlJc w:val="left"/>
      <w:pPr>
        <w:tabs>
          <w:tab w:val="num" w:pos="1440"/>
        </w:tabs>
        <w:ind w:left="1440" w:hanging="360"/>
      </w:pPr>
    </w:lvl>
    <w:lvl w:ilvl="2" w:tplc="7D660F76" w:tentative="1">
      <w:start w:val="1"/>
      <w:numFmt w:val="lowerLetter"/>
      <w:lvlText w:val="%3)"/>
      <w:lvlJc w:val="left"/>
      <w:pPr>
        <w:tabs>
          <w:tab w:val="num" w:pos="2160"/>
        </w:tabs>
        <w:ind w:left="2160" w:hanging="360"/>
      </w:pPr>
    </w:lvl>
    <w:lvl w:ilvl="3" w:tplc="83165EF0" w:tentative="1">
      <w:start w:val="1"/>
      <w:numFmt w:val="lowerLetter"/>
      <w:lvlText w:val="%4)"/>
      <w:lvlJc w:val="left"/>
      <w:pPr>
        <w:tabs>
          <w:tab w:val="num" w:pos="2880"/>
        </w:tabs>
        <w:ind w:left="2880" w:hanging="360"/>
      </w:pPr>
    </w:lvl>
    <w:lvl w:ilvl="4" w:tplc="850A346C" w:tentative="1">
      <w:start w:val="1"/>
      <w:numFmt w:val="lowerLetter"/>
      <w:lvlText w:val="%5)"/>
      <w:lvlJc w:val="left"/>
      <w:pPr>
        <w:tabs>
          <w:tab w:val="num" w:pos="3600"/>
        </w:tabs>
        <w:ind w:left="3600" w:hanging="360"/>
      </w:pPr>
    </w:lvl>
    <w:lvl w:ilvl="5" w:tplc="7534E24A" w:tentative="1">
      <w:start w:val="1"/>
      <w:numFmt w:val="lowerLetter"/>
      <w:lvlText w:val="%6)"/>
      <w:lvlJc w:val="left"/>
      <w:pPr>
        <w:tabs>
          <w:tab w:val="num" w:pos="4320"/>
        </w:tabs>
        <w:ind w:left="4320" w:hanging="360"/>
      </w:pPr>
    </w:lvl>
    <w:lvl w:ilvl="6" w:tplc="F580EECE" w:tentative="1">
      <w:start w:val="1"/>
      <w:numFmt w:val="lowerLetter"/>
      <w:lvlText w:val="%7)"/>
      <w:lvlJc w:val="left"/>
      <w:pPr>
        <w:tabs>
          <w:tab w:val="num" w:pos="5040"/>
        </w:tabs>
        <w:ind w:left="5040" w:hanging="360"/>
      </w:pPr>
    </w:lvl>
    <w:lvl w:ilvl="7" w:tplc="017E9C7E" w:tentative="1">
      <w:start w:val="1"/>
      <w:numFmt w:val="lowerLetter"/>
      <w:lvlText w:val="%8)"/>
      <w:lvlJc w:val="left"/>
      <w:pPr>
        <w:tabs>
          <w:tab w:val="num" w:pos="5760"/>
        </w:tabs>
        <w:ind w:left="5760" w:hanging="360"/>
      </w:pPr>
    </w:lvl>
    <w:lvl w:ilvl="8" w:tplc="FCDE6B20" w:tentative="1">
      <w:start w:val="1"/>
      <w:numFmt w:val="lowerLetter"/>
      <w:lvlText w:val="%9)"/>
      <w:lvlJc w:val="left"/>
      <w:pPr>
        <w:tabs>
          <w:tab w:val="num" w:pos="6480"/>
        </w:tabs>
        <w:ind w:left="6480" w:hanging="360"/>
      </w:pPr>
    </w:lvl>
  </w:abstractNum>
  <w:abstractNum w:abstractNumId="4" w15:restartNumberingAfterBreak="0">
    <w:nsid w:val="21987156"/>
    <w:multiLevelType w:val="hybridMultilevel"/>
    <w:tmpl w:val="E0EAF908"/>
    <w:lvl w:ilvl="0" w:tplc="AE962D9E">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8D394F"/>
    <w:multiLevelType w:val="hybridMultilevel"/>
    <w:tmpl w:val="5BF425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5061807"/>
    <w:multiLevelType w:val="hybridMultilevel"/>
    <w:tmpl w:val="5C963EC4"/>
    <w:lvl w:ilvl="0" w:tplc="DD6C0FCC">
      <w:start w:val="1"/>
      <w:numFmt w:val="lowerLetter"/>
      <w:lvlText w:val="%1)"/>
      <w:lvlJc w:val="left"/>
      <w:pPr>
        <w:ind w:left="720" w:hanging="360"/>
      </w:pPr>
      <w:rPr>
        <w:rFonts w:eastAsia="Times New Roman" w:cstheme="minorHAnsi"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6F22B8E"/>
    <w:multiLevelType w:val="hybridMultilevel"/>
    <w:tmpl w:val="2C260A0C"/>
    <w:lvl w:ilvl="0" w:tplc="DBDE8136">
      <w:start w:val="5"/>
      <w:numFmt w:val="lowerLetter"/>
      <w:lvlText w:val="%1)"/>
      <w:lvlJc w:val="left"/>
      <w:pPr>
        <w:tabs>
          <w:tab w:val="num" w:pos="720"/>
        </w:tabs>
        <w:ind w:left="720" w:hanging="360"/>
      </w:pPr>
    </w:lvl>
    <w:lvl w:ilvl="1" w:tplc="8DCEBC62" w:tentative="1">
      <w:start w:val="1"/>
      <w:numFmt w:val="lowerLetter"/>
      <w:lvlText w:val="%2)"/>
      <w:lvlJc w:val="left"/>
      <w:pPr>
        <w:tabs>
          <w:tab w:val="num" w:pos="1440"/>
        </w:tabs>
        <w:ind w:left="1440" w:hanging="360"/>
      </w:pPr>
    </w:lvl>
    <w:lvl w:ilvl="2" w:tplc="8488C36A" w:tentative="1">
      <w:start w:val="1"/>
      <w:numFmt w:val="lowerLetter"/>
      <w:lvlText w:val="%3)"/>
      <w:lvlJc w:val="left"/>
      <w:pPr>
        <w:tabs>
          <w:tab w:val="num" w:pos="2160"/>
        </w:tabs>
        <w:ind w:left="2160" w:hanging="360"/>
      </w:pPr>
    </w:lvl>
    <w:lvl w:ilvl="3" w:tplc="31088612" w:tentative="1">
      <w:start w:val="1"/>
      <w:numFmt w:val="lowerLetter"/>
      <w:lvlText w:val="%4)"/>
      <w:lvlJc w:val="left"/>
      <w:pPr>
        <w:tabs>
          <w:tab w:val="num" w:pos="2880"/>
        </w:tabs>
        <w:ind w:left="2880" w:hanging="360"/>
      </w:pPr>
    </w:lvl>
    <w:lvl w:ilvl="4" w:tplc="C2E69A20" w:tentative="1">
      <w:start w:val="1"/>
      <w:numFmt w:val="lowerLetter"/>
      <w:lvlText w:val="%5)"/>
      <w:lvlJc w:val="left"/>
      <w:pPr>
        <w:tabs>
          <w:tab w:val="num" w:pos="3600"/>
        </w:tabs>
        <w:ind w:left="3600" w:hanging="360"/>
      </w:pPr>
    </w:lvl>
    <w:lvl w:ilvl="5" w:tplc="557CE616" w:tentative="1">
      <w:start w:val="1"/>
      <w:numFmt w:val="lowerLetter"/>
      <w:lvlText w:val="%6)"/>
      <w:lvlJc w:val="left"/>
      <w:pPr>
        <w:tabs>
          <w:tab w:val="num" w:pos="4320"/>
        </w:tabs>
        <w:ind w:left="4320" w:hanging="360"/>
      </w:pPr>
    </w:lvl>
    <w:lvl w:ilvl="6" w:tplc="90FA51DE" w:tentative="1">
      <w:start w:val="1"/>
      <w:numFmt w:val="lowerLetter"/>
      <w:lvlText w:val="%7)"/>
      <w:lvlJc w:val="left"/>
      <w:pPr>
        <w:tabs>
          <w:tab w:val="num" w:pos="5040"/>
        </w:tabs>
        <w:ind w:left="5040" w:hanging="360"/>
      </w:pPr>
    </w:lvl>
    <w:lvl w:ilvl="7" w:tplc="0ADA8922" w:tentative="1">
      <w:start w:val="1"/>
      <w:numFmt w:val="lowerLetter"/>
      <w:lvlText w:val="%8)"/>
      <w:lvlJc w:val="left"/>
      <w:pPr>
        <w:tabs>
          <w:tab w:val="num" w:pos="5760"/>
        </w:tabs>
        <w:ind w:left="5760" w:hanging="360"/>
      </w:pPr>
    </w:lvl>
    <w:lvl w:ilvl="8" w:tplc="703E7A0A" w:tentative="1">
      <w:start w:val="1"/>
      <w:numFmt w:val="lowerLetter"/>
      <w:lvlText w:val="%9)"/>
      <w:lvlJc w:val="left"/>
      <w:pPr>
        <w:tabs>
          <w:tab w:val="num" w:pos="6480"/>
        </w:tabs>
        <w:ind w:left="6480" w:hanging="360"/>
      </w:pPr>
    </w:lvl>
  </w:abstractNum>
  <w:abstractNum w:abstractNumId="8" w15:restartNumberingAfterBreak="0">
    <w:nsid w:val="3C44496A"/>
    <w:multiLevelType w:val="hybridMultilevel"/>
    <w:tmpl w:val="6A32A08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3EED5B2B"/>
    <w:multiLevelType w:val="hybridMultilevel"/>
    <w:tmpl w:val="A3F21A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3002481"/>
    <w:multiLevelType w:val="hybridMultilevel"/>
    <w:tmpl w:val="2EE435E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C7C69C6"/>
    <w:multiLevelType w:val="hybridMultilevel"/>
    <w:tmpl w:val="579EC9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CAC1504"/>
    <w:multiLevelType w:val="hybridMultilevel"/>
    <w:tmpl w:val="5B82F38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D41480"/>
    <w:multiLevelType w:val="hybridMultilevel"/>
    <w:tmpl w:val="36305462"/>
    <w:lvl w:ilvl="0" w:tplc="BB4834E8">
      <w:start w:val="1"/>
      <w:numFmt w:val="lowerLetter"/>
      <w:lvlText w:val="%1)"/>
      <w:lvlJc w:val="left"/>
      <w:pPr>
        <w:tabs>
          <w:tab w:val="num" w:pos="720"/>
        </w:tabs>
        <w:ind w:left="720" w:hanging="360"/>
      </w:pPr>
    </w:lvl>
    <w:lvl w:ilvl="1" w:tplc="3AAA07F4" w:tentative="1">
      <w:start w:val="1"/>
      <w:numFmt w:val="lowerLetter"/>
      <w:lvlText w:val="%2)"/>
      <w:lvlJc w:val="left"/>
      <w:pPr>
        <w:tabs>
          <w:tab w:val="num" w:pos="1440"/>
        </w:tabs>
        <w:ind w:left="1440" w:hanging="360"/>
      </w:pPr>
    </w:lvl>
    <w:lvl w:ilvl="2" w:tplc="6B029E64" w:tentative="1">
      <w:start w:val="1"/>
      <w:numFmt w:val="lowerLetter"/>
      <w:lvlText w:val="%3)"/>
      <w:lvlJc w:val="left"/>
      <w:pPr>
        <w:tabs>
          <w:tab w:val="num" w:pos="2160"/>
        </w:tabs>
        <w:ind w:left="2160" w:hanging="360"/>
      </w:pPr>
    </w:lvl>
    <w:lvl w:ilvl="3" w:tplc="DC0E9EFA" w:tentative="1">
      <w:start w:val="1"/>
      <w:numFmt w:val="lowerLetter"/>
      <w:lvlText w:val="%4)"/>
      <w:lvlJc w:val="left"/>
      <w:pPr>
        <w:tabs>
          <w:tab w:val="num" w:pos="2880"/>
        </w:tabs>
        <w:ind w:left="2880" w:hanging="360"/>
      </w:pPr>
    </w:lvl>
    <w:lvl w:ilvl="4" w:tplc="7E840B58" w:tentative="1">
      <w:start w:val="1"/>
      <w:numFmt w:val="lowerLetter"/>
      <w:lvlText w:val="%5)"/>
      <w:lvlJc w:val="left"/>
      <w:pPr>
        <w:tabs>
          <w:tab w:val="num" w:pos="3600"/>
        </w:tabs>
        <w:ind w:left="3600" w:hanging="360"/>
      </w:pPr>
    </w:lvl>
    <w:lvl w:ilvl="5" w:tplc="933873EE" w:tentative="1">
      <w:start w:val="1"/>
      <w:numFmt w:val="lowerLetter"/>
      <w:lvlText w:val="%6)"/>
      <w:lvlJc w:val="left"/>
      <w:pPr>
        <w:tabs>
          <w:tab w:val="num" w:pos="4320"/>
        </w:tabs>
        <w:ind w:left="4320" w:hanging="360"/>
      </w:pPr>
    </w:lvl>
    <w:lvl w:ilvl="6" w:tplc="0DD4FD24" w:tentative="1">
      <w:start w:val="1"/>
      <w:numFmt w:val="lowerLetter"/>
      <w:lvlText w:val="%7)"/>
      <w:lvlJc w:val="left"/>
      <w:pPr>
        <w:tabs>
          <w:tab w:val="num" w:pos="5040"/>
        </w:tabs>
        <w:ind w:left="5040" w:hanging="360"/>
      </w:pPr>
    </w:lvl>
    <w:lvl w:ilvl="7" w:tplc="DF92A482" w:tentative="1">
      <w:start w:val="1"/>
      <w:numFmt w:val="lowerLetter"/>
      <w:lvlText w:val="%8)"/>
      <w:lvlJc w:val="left"/>
      <w:pPr>
        <w:tabs>
          <w:tab w:val="num" w:pos="5760"/>
        </w:tabs>
        <w:ind w:left="5760" w:hanging="360"/>
      </w:pPr>
    </w:lvl>
    <w:lvl w:ilvl="8" w:tplc="966E9E32" w:tentative="1">
      <w:start w:val="1"/>
      <w:numFmt w:val="lowerLetter"/>
      <w:lvlText w:val="%9)"/>
      <w:lvlJc w:val="left"/>
      <w:pPr>
        <w:tabs>
          <w:tab w:val="num" w:pos="6480"/>
        </w:tabs>
        <w:ind w:left="6480" w:hanging="360"/>
      </w:pPr>
    </w:lvl>
  </w:abstractNum>
  <w:abstractNum w:abstractNumId="14" w15:restartNumberingAfterBreak="0">
    <w:nsid w:val="529E391D"/>
    <w:multiLevelType w:val="hybridMultilevel"/>
    <w:tmpl w:val="A7F2859C"/>
    <w:lvl w:ilvl="0" w:tplc="B2B20A1E">
      <w:start w:val="6"/>
      <w:numFmt w:val="lowerLetter"/>
      <w:lvlText w:val="%1)"/>
      <w:lvlJc w:val="left"/>
      <w:pPr>
        <w:tabs>
          <w:tab w:val="num" w:pos="720"/>
        </w:tabs>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5044F24"/>
    <w:multiLevelType w:val="hybridMultilevel"/>
    <w:tmpl w:val="A11EACF6"/>
    <w:lvl w:ilvl="0" w:tplc="04070015">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3B7565"/>
    <w:multiLevelType w:val="hybridMultilevel"/>
    <w:tmpl w:val="EB269914"/>
    <w:lvl w:ilvl="0" w:tplc="AE962D9E">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6B434B"/>
    <w:multiLevelType w:val="hybridMultilevel"/>
    <w:tmpl w:val="B9C08B14"/>
    <w:lvl w:ilvl="0" w:tplc="792C32B6">
      <w:start w:val="1"/>
      <w:numFmt w:val="decimal"/>
      <w:lvlText w:val="(%1)"/>
      <w:lvlJc w:val="left"/>
      <w:pPr>
        <w:ind w:left="1065" w:hanging="705"/>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C543266"/>
    <w:multiLevelType w:val="hybridMultilevel"/>
    <w:tmpl w:val="491E7A6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D5E7C24"/>
    <w:multiLevelType w:val="hybridMultilevel"/>
    <w:tmpl w:val="5B82F38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4D71CAF"/>
    <w:multiLevelType w:val="hybridMultilevel"/>
    <w:tmpl w:val="1CD8155E"/>
    <w:lvl w:ilvl="0" w:tplc="2602649C">
      <w:start w:val="1"/>
      <w:numFmt w:val="bullet"/>
      <w:lvlText w:val=""/>
      <w:lvlJc w:val="left"/>
      <w:pPr>
        <w:tabs>
          <w:tab w:val="num" w:pos="720"/>
        </w:tabs>
        <w:ind w:left="720" w:hanging="360"/>
      </w:pPr>
      <w:rPr>
        <w:rFonts w:ascii="Symbol" w:hAnsi="Symbol" w:hint="default"/>
      </w:rPr>
    </w:lvl>
    <w:lvl w:ilvl="1" w:tplc="290E637E" w:tentative="1">
      <w:start w:val="1"/>
      <w:numFmt w:val="bullet"/>
      <w:lvlText w:val=""/>
      <w:lvlJc w:val="left"/>
      <w:pPr>
        <w:tabs>
          <w:tab w:val="num" w:pos="1440"/>
        </w:tabs>
        <w:ind w:left="1440" w:hanging="360"/>
      </w:pPr>
      <w:rPr>
        <w:rFonts w:ascii="Symbol" w:hAnsi="Symbol" w:hint="default"/>
      </w:rPr>
    </w:lvl>
    <w:lvl w:ilvl="2" w:tplc="41D046CC" w:tentative="1">
      <w:start w:val="1"/>
      <w:numFmt w:val="bullet"/>
      <w:lvlText w:val=""/>
      <w:lvlJc w:val="left"/>
      <w:pPr>
        <w:tabs>
          <w:tab w:val="num" w:pos="2160"/>
        </w:tabs>
        <w:ind w:left="2160" w:hanging="360"/>
      </w:pPr>
      <w:rPr>
        <w:rFonts w:ascii="Symbol" w:hAnsi="Symbol" w:hint="default"/>
      </w:rPr>
    </w:lvl>
    <w:lvl w:ilvl="3" w:tplc="82FA2BAC" w:tentative="1">
      <w:start w:val="1"/>
      <w:numFmt w:val="bullet"/>
      <w:lvlText w:val=""/>
      <w:lvlJc w:val="left"/>
      <w:pPr>
        <w:tabs>
          <w:tab w:val="num" w:pos="2880"/>
        </w:tabs>
        <w:ind w:left="2880" w:hanging="360"/>
      </w:pPr>
      <w:rPr>
        <w:rFonts w:ascii="Symbol" w:hAnsi="Symbol" w:hint="default"/>
      </w:rPr>
    </w:lvl>
    <w:lvl w:ilvl="4" w:tplc="D03AEDAE" w:tentative="1">
      <w:start w:val="1"/>
      <w:numFmt w:val="bullet"/>
      <w:lvlText w:val=""/>
      <w:lvlJc w:val="left"/>
      <w:pPr>
        <w:tabs>
          <w:tab w:val="num" w:pos="3600"/>
        </w:tabs>
        <w:ind w:left="3600" w:hanging="360"/>
      </w:pPr>
      <w:rPr>
        <w:rFonts w:ascii="Symbol" w:hAnsi="Symbol" w:hint="default"/>
      </w:rPr>
    </w:lvl>
    <w:lvl w:ilvl="5" w:tplc="BDA29DAA" w:tentative="1">
      <w:start w:val="1"/>
      <w:numFmt w:val="bullet"/>
      <w:lvlText w:val=""/>
      <w:lvlJc w:val="left"/>
      <w:pPr>
        <w:tabs>
          <w:tab w:val="num" w:pos="4320"/>
        </w:tabs>
        <w:ind w:left="4320" w:hanging="360"/>
      </w:pPr>
      <w:rPr>
        <w:rFonts w:ascii="Symbol" w:hAnsi="Symbol" w:hint="default"/>
      </w:rPr>
    </w:lvl>
    <w:lvl w:ilvl="6" w:tplc="2CC4D0EA" w:tentative="1">
      <w:start w:val="1"/>
      <w:numFmt w:val="bullet"/>
      <w:lvlText w:val=""/>
      <w:lvlJc w:val="left"/>
      <w:pPr>
        <w:tabs>
          <w:tab w:val="num" w:pos="5040"/>
        </w:tabs>
        <w:ind w:left="5040" w:hanging="360"/>
      </w:pPr>
      <w:rPr>
        <w:rFonts w:ascii="Symbol" w:hAnsi="Symbol" w:hint="default"/>
      </w:rPr>
    </w:lvl>
    <w:lvl w:ilvl="7" w:tplc="326E02C8" w:tentative="1">
      <w:start w:val="1"/>
      <w:numFmt w:val="bullet"/>
      <w:lvlText w:val=""/>
      <w:lvlJc w:val="left"/>
      <w:pPr>
        <w:tabs>
          <w:tab w:val="num" w:pos="5760"/>
        </w:tabs>
        <w:ind w:left="5760" w:hanging="360"/>
      </w:pPr>
      <w:rPr>
        <w:rFonts w:ascii="Symbol" w:hAnsi="Symbol" w:hint="default"/>
      </w:rPr>
    </w:lvl>
    <w:lvl w:ilvl="8" w:tplc="F8AEABD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7DA397D"/>
    <w:multiLevelType w:val="hybridMultilevel"/>
    <w:tmpl w:val="5912805E"/>
    <w:lvl w:ilvl="0" w:tplc="FAFEAEC2">
      <w:start w:val="1"/>
      <w:numFmt w:val="lowerLetter"/>
      <w:lvlText w:val="%1)"/>
      <w:lvlJc w:val="left"/>
      <w:pPr>
        <w:tabs>
          <w:tab w:val="num" w:pos="720"/>
        </w:tabs>
        <w:ind w:left="720" w:hanging="360"/>
      </w:pPr>
    </w:lvl>
    <w:lvl w:ilvl="1" w:tplc="BFC6ABA0" w:tentative="1">
      <w:start w:val="1"/>
      <w:numFmt w:val="lowerLetter"/>
      <w:lvlText w:val="%2)"/>
      <w:lvlJc w:val="left"/>
      <w:pPr>
        <w:tabs>
          <w:tab w:val="num" w:pos="1440"/>
        </w:tabs>
        <w:ind w:left="1440" w:hanging="360"/>
      </w:pPr>
    </w:lvl>
    <w:lvl w:ilvl="2" w:tplc="9246071C" w:tentative="1">
      <w:start w:val="1"/>
      <w:numFmt w:val="lowerLetter"/>
      <w:lvlText w:val="%3)"/>
      <w:lvlJc w:val="left"/>
      <w:pPr>
        <w:tabs>
          <w:tab w:val="num" w:pos="2160"/>
        </w:tabs>
        <w:ind w:left="2160" w:hanging="360"/>
      </w:pPr>
    </w:lvl>
    <w:lvl w:ilvl="3" w:tplc="03D66D86" w:tentative="1">
      <w:start w:val="1"/>
      <w:numFmt w:val="lowerLetter"/>
      <w:lvlText w:val="%4)"/>
      <w:lvlJc w:val="left"/>
      <w:pPr>
        <w:tabs>
          <w:tab w:val="num" w:pos="2880"/>
        </w:tabs>
        <w:ind w:left="2880" w:hanging="360"/>
      </w:pPr>
    </w:lvl>
    <w:lvl w:ilvl="4" w:tplc="1760151E" w:tentative="1">
      <w:start w:val="1"/>
      <w:numFmt w:val="lowerLetter"/>
      <w:lvlText w:val="%5)"/>
      <w:lvlJc w:val="left"/>
      <w:pPr>
        <w:tabs>
          <w:tab w:val="num" w:pos="3600"/>
        </w:tabs>
        <w:ind w:left="3600" w:hanging="360"/>
      </w:pPr>
    </w:lvl>
    <w:lvl w:ilvl="5" w:tplc="8E502338" w:tentative="1">
      <w:start w:val="1"/>
      <w:numFmt w:val="lowerLetter"/>
      <w:lvlText w:val="%6)"/>
      <w:lvlJc w:val="left"/>
      <w:pPr>
        <w:tabs>
          <w:tab w:val="num" w:pos="4320"/>
        </w:tabs>
        <w:ind w:left="4320" w:hanging="360"/>
      </w:pPr>
    </w:lvl>
    <w:lvl w:ilvl="6" w:tplc="8A0A27A6" w:tentative="1">
      <w:start w:val="1"/>
      <w:numFmt w:val="lowerLetter"/>
      <w:lvlText w:val="%7)"/>
      <w:lvlJc w:val="left"/>
      <w:pPr>
        <w:tabs>
          <w:tab w:val="num" w:pos="5040"/>
        </w:tabs>
        <w:ind w:left="5040" w:hanging="360"/>
      </w:pPr>
    </w:lvl>
    <w:lvl w:ilvl="7" w:tplc="6DE6B280" w:tentative="1">
      <w:start w:val="1"/>
      <w:numFmt w:val="lowerLetter"/>
      <w:lvlText w:val="%8)"/>
      <w:lvlJc w:val="left"/>
      <w:pPr>
        <w:tabs>
          <w:tab w:val="num" w:pos="5760"/>
        </w:tabs>
        <w:ind w:left="5760" w:hanging="360"/>
      </w:pPr>
    </w:lvl>
    <w:lvl w:ilvl="8" w:tplc="6FEAC31A" w:tentative="1">
      <w:start w:val="1"/>
      <w:numFmt w:val="lowerLetter"/>
      <w:lvlText w:val="%9)"/>
      <w:lvlJc w:val="left"/>
      <w:pPr>
        <w:tabs>
          <w:tab w:val="num" w:pos="6480"/>
        </w:tabs>
        <w:ind w:left="6480" w:hanging="360"/>
      </w:pPr>
    </w:lvl>
  </w:abstractNum>
  <w:abstractNum w:abstractNumId="22" w15:restartNumberingAfterBreak="0">
    <w:nsid w:val="7B4442E2"/>
    <w:multiLevelType w:val="hybridMultilevel"/>
    <w:tmpl w:val="405C62B2"/>
    <w:lvl w:ilvl="0" w:tplc="AE962D9E">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CE65B4D"/>
    <w:multiLevelType w:val="hybridMultilevel"/>
    <w:tmpl w:val="AB3226AE"/>
    <w:lvl w:ilvl="0" w:tplc="5E2C4218">
      <w:start w:val="1"/>
      <w:numFmt w:val="lowerLetter"/>
      <w:lvlText w:val="%1)"/>
      <w:lvlJc w:val="left"/>
      <w:pPr>
        <w:tabs>
          <w:tab w:val="num" w:pos="720"/>
        </w:tabs>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2"/>
  </w:num>
  <w:num w:numId="2">
    <w:abstractNumId w:val="4"/>
  </w:num>
  <w:num w:numId="3">
    <w:abstractNumId w:val="9"/>
  </w:num>
  <w:num w:numId="4">
    <w:abstractNumId w:val="18"/>
  </w:num>
  <w:num w:numId="5">
    <w:abstractNumId w:val="15"/>
  </w:num>
  <w:num w:numId="6">
    <w:abstractNumId w:val="19"/>
  </w:num>
  <w:num w:numId="7">
    <w:abstractNumId w:val="10"/>
  </w:num>
  <w:num w:numId="8">
    <w:abstractNumId w:val="17"/>
  </w:num>
  <w:num w:numId="9">
    <w:abstractNumId w:val="6"/>
  </w:num>
  <w:num w:numId="10">
    <w:abstractNumId w:val="1"/>
  </w:num>
  <w:num w:numId="11">
    <w:abstractNumId w:val="5"/>
  </w:num>
  <w:num w:numId="12">
    <w:abstractNumId w:val="8"/>
  </w:num>
  <w:num w:numId="13">
    <w:abstractNumId w:val="2"/>
  </w:num>
  <w:num w:numId="14">
    <w:abstractNumId w:val="21"/>
  </w:num>
  <w:num w:numId="15">
    <w:abstractNumId w:val="0"/>
  </w:num>
  <w:num w:numId="16">
    <w:abstractNumId w:val="3"/>
  </w:num>
  <w:num w:numId="17">
    <w:abstractNumId w:val="11"/>
  </w:num>
  <w:num w:numId="18">
    <w:abstractNumId w:val="23"/>
  </w:num>
  <w:num w:numId="19">
    <w:abstractNumId w:val="14"/>
  </w:num>
  <w:num w:numId="20">
    <w:abstractNumId w:val="20"/>
  </w:num>
  <w:num w:numId="21">
    <w:abstractNumId w:val="16"/>
  </w:num>
  <w:num w:numId="22">
    <w:abstractNumId w:val="13"/>
  </w:num>
  <w:num w:numId="23">
    <w:abstractNumId w:val="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FE"/>
    <w:rsid w:val="000007CA"/>
    <w:rsid w:val="00057928"/>
    <w:rsid w:val="00065548"/>
    <w:rsid w:val="00087D83"/>
    <w:rsid w:val="000C2456"/>
    <w:rsid w:val="000E7201"/>
    <w:rsid w:val="00127A22"/>
    <w:rsid w:val="001436FA"/>
    <w:rsid w:val="00182809"/>
    <w:rsid w:val="001879E2"/>
    <w:rsid w:val="001B5B69"/>
    <w:rsid w:val="001C4AE4"/>
    <w:rsid w:val="001F03AF"/>
    <w:rsid w:val="001F7973"/>
    <w:rsid w:val="002261DC"/>
    <w:rsid w:val="00281319"/>
    <w:rsid w:val="002F4AB1"/>
    <w:rsid w:val="00311300"/>
    <w:rsid w:val="0033521A"/>
    <w:rsid w:val="00350F42"/>
    <w:rsid w:val="003D5F9E"/>
    <w:rsid w:val="003E3A51"/>
    <w:rsid w:val="004A1A33"/>
    <w:rsid w:val="004E472E"/>
    <w:rsid w:val="00507563"/>
    <w:rsid w:val="005079D4"/>
    <w:rsid w:val="00511972"/>
    <w:rsid w:val="005629AA"/>
    <w:rsid w:val="005843AA"/>
    <w:rsid w:val="00584725"/>
    <w:rsid w:val="005C6B62"/>
    <w:rsid w:val="006624BC"/>
    <w:rsid w:val="00684D08"/>
    <w:rsid w:val="006A40FE"/>
    <w:rsid w:val="006C07B3"/>
    <w:rsid w:val="00742B2D"/>
    <w:rsid w:val="00754477"/>
    <w:rsid w:val="007D59A3"/>
    <w:rsid w:val="008A5BB1"/>
    <w:rsid w:val="008B4D6C"/>
    <w:rsid w:val="00920B23"/>
    <w:rsid w:val="00923552"/>
    <w:rsid w:val="00982443"/>
    <w:rsid w:val="009C6EE6"/>
    <w:rsid w:val="009E05D6"/>
    <w:rsid w:val="00A72335"/>
    <w:rsid w:val="00A72CB5"/>
    <w:rsid w:val="00AB5DDB"/>
    <w:rsid w:val="00B71FB2"/>
    <w:rsid w:val="00C033C0"/>
    <w:rsid w:val="00C50ACE"/>
    <w:rsid w:val="00C74605"/>
    <w:rsid w:val="00C91898"/>
    <w:rsid w:val="00D17D59"/>
    <w:rsid w:val="00D63994"/>
    <w:rsid w:val="00E03B6E"/>
    <w:rsid w:val="00E07640"/>
    <w:rsid w:val="00E13AFA"/>
    <w:rsid w:val="00E15415"/>
    <w:rsid w:val="00E979AD"/>
    <w:rsid w:val="00EA59A7"/>
    <w:rsid w:val="00EF2627"/>
    <w:rsid w:val="00F10DDE"/>
    <w:rsid w:val="00F20D32"/>
    <w:rsid w:val="00F6134F"/>
    <w:rsid w:val="00F739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12B8F0"/>
  <w15:chartTrackingRefBased/>
  <w15:docId w15:val="{F633E21B-7806-4234-A071-A5F309E8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11972"/>
  </w:style>
  <w:style w:type="paragraph" w:styleId="berschrift1">
    <w:name w:val="heading 1"/>
    <w:basedOn w:val="Standard"/>
    <w:next w:val="Standard"/>
    <w:link w:val="berschrift1Zchn"/>
    <w:uiPriority w:val="9"/>
    <w:qFormat/>
    <w:rsid w:val="000C24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9C6E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8B4D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rsid w:val="008B4D6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A40FE"/>
    <w:pPr>
      <w:spacing w:before="100" w:beforeAutospacing="1" w:after="144" w:line="276"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0C2456"/>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9C6EE6"/>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8B4D6C"/>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rsid w:val="008B4D6C"/>
    <w:rPr>
      <w:rFonts w:asciiTheme="majorHAnsi" w:eastAsiaTheme="majorEastAsia" w:hAnsiTheme="majorHAnsi" w:cstheme="majorBidi"/>
      <w:i/>
      <w:iCs/>
      <w:color w:val="2F5496" w:themeColor="accent1" w:themeShade="BF"/>
    </w:rPr>
  </w:style>
  <w:style w:type="table" w:styleId="Tabellenraster">
    <w:name w:val="Table Grid"/>
    <w:basedOn w:val="NormaleTabelle"/>
    <w:uiPriority w:val="39"/>
    <w:rsid w:val="00C91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91898"/>
    <w:pPr>
      <w:ind w:left="720"/>
      <w:contextualSpacing/>
    </w:pPr>
  </w:style>
  <w:style w:type="paragraph" w:styleId="Titel">
    <w:name w:val="Title"/>
    <w:basedOn w:val="Standard"/>
    <w:next w:val="Standard"/>
    <w:link w:val="TitelZchn"/>
    <w:uiPriority w:val="10"/>
    <w:qFormat/>
    <w:rsid w:val="001C4A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C4AE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C4AE4"/>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1C4AE4"/>
    <w:rPr>
      <w:rFonts w:eastAsiaTheme="minorEastAsia"/>
      <w:color w:val="5A5A5A" w:themeColor="text1" w:themeTint="A5"/>
      <w:spacing w:val="15"/>
    </w:rPr>
  </w:style>
  <w:style w:type="paragraph" w:styleId="Funotentext">
    <w:name w:val="footnote text"/>
    <w:basedOn w:val="Standard"/>
    <w:link w:val="FunotentextZchn"/>
    <w:uiPriority w:val="99"/>
    <w:unhideWhenUsed/>
    <w:rsid w:val="003E3A51"/>
    <w:pPr>
      <w:spacing w:after="0" w:line="240" w:lineRule="auto"/>
    </w:pPr>
    <w:rPr>
      <w:sz w:val="20"/>
      <w:szCs w:val="20"/>
    </w:rPr>
  </w:style>
  <w:style w:type="character" w:customStyle="1" w:styleId="FunotentextZchn">
    <w:name w:val="Fußnotentext Zchn"/>
    <w:basedOn w:val="Absatz-Standardschriftart"/>
    <w:link w:val="Funotentext"/>
    <w:uiPriority w:val="99"/>
    <w:rsid w:val="003E3A51"/>
    <w:rPr>
      <w:sz w:val="20"/>
      <w:szCs w:val="20"/>
    </w:rPr>
  </w:style>
  <w:style w:type="character" w:styleId="Funotenzeichen">
    <w:name w:val="footnote reference"/>
    <w:basedOn w:val="Absatz-Standardschriftart"/>
    <w:uiPriority w:val="99"/>
    <w:semiHidden/>
    <w:unhideWhenUsed/>
    <w:rsid w:val="003E3A51"/>
    <w:rPr>
      <w:vertAlign w:val="superscript"/>
    </w:rPr>
  </w:style>
  <w:style w:type="character" w:styleId="Hyperlink">
    <w:name w:val="Hyperlink"/>
    <w:basedOn w:val="Absatz-Standardschriftart"/>
    <w:uiPriority w:val="99"/>
    <w:unhideWhenUsed/>
    <w:rsid w:val="003E3A51"/>
    <w:rPr>
      <w:color w:val="0563C1" w:themeColor="hyperlink"/>
      <w:u w:val="single"/>
    </w:rPr>
  </w:style>
  <w:style w:type="character" w:customStyle="1" w:styleId="NichtaufgelsteErwhnung1">
    <w:name w:val="Nicht aufgelöste Erwähnung1"/>
    <w:basedOn w:val="Absatz-Standardschriftart"/>
    <w:uiPriority w:val="99"/>
    <w:semiHidden/>
    <w:unhideWhenUsed/>
    <w:rsid w:val="008A5BB1"/>
    <w:rPr>
      <w:color w:val="605E5C"/>
      <w:shd w:val="clear" w:color="auto" w:fill="E1DFDD"/>
    </w:rPr>
  </w:style>
  <w:style w:type="paragraph" w:customStyle="1" w:styleId="HINWEISTEXT">
    <w:name w:val="HINWEISTEXT"/>
    <w:basedOn w:val="Standard"/>
    <w:link w:val="HINWEISTEXTZchn"/>
    <w:autoRedefine/>
    <w:qFormat/>
    <w:rsid w:val="00F6134F"/>
    <w:pPr>
      <w:shd w:val="pct5" w:color="auto" w:fill="auto"/>
    </w:pPr>
    <w:rPr>
      <w:i/>
      <w:sz w:val="20"/>
      <w:szCs w:val="20"/>
      <w:lang w:eastAsia="de-DE"/>
    </w:rPr>
  </w:style>
  <w:style w:type="paragraph" w:styleId="Kopfzeile">
    <w:name w:val="header"/>
    <w:basedOn w:val="Standard"/>
    <w:link w:val="KopfzeileZchn"/>
    <w:uiPriority w:val="99"/>
    <w:unhideWhenUsed/>
    <w:rsid w:val="00F6134F"/>
    <w:pPr>
      <w:tabs>
        <w:tab w:val="center" w:pos="4536"/>
        <w:tab w:val="right" w:pos="9072"/>
      </w:tabs>
      <w:spacing w:after="0" w:line="240" w:lineRule="auto"/>
    </w:pPr>
  </w:style>
  <w:style w:type="character" w:customStyle="1" w:styleId="HINWEISTEXTZchn">
    <w:name w:val="HINWEISTEXT Zchn"/>
    <w:basedOn w:val="Absatz-Standardschriftart"/>
    <w:link w:val="HINWEISTEXT"/>
    <w:rsid w:val="00F6134F"/>
    <w:rPr>
      <w:i/>
      <w:sz w:val="20"/>
      <w:szCs w:val="20"/>
      <w:shd w:val="pct5" w:color="auto" w:fill="auto"/>
      <w:lang w:eastAsia="de-DE"/>
    </w:rPr>
  </w:style>
  <w:style w:type="character" w:customStyle="1" w:styleId="KopfzeileZchn">
    <w:name w:val="Kopfzeile Zchn"/>
    <w:basedOn w:val="Absatz-Standardschriftart"/>
    <w:link w:val="Kopfzeile"/>
    <w:uiPriority w:val="99"/>
    <w:rsid w:val="00F6134F"/>
  </w:style>
  <w:style w:type="paragraph" w:styleId="Fuzeile">
    <w:name w:val="footer"/>
    <w:basedOn w:val="Standard"/>
    <w:link w:val="FuzeileZchn"/>
    <w:uiPriority w:val="99"/>
    <w:unhideWhenUsed/>
    <w:rsid w:val="00F6134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134F"/>
  </w:style>
  <w:style w:type="paragraph" w:styleId="Sprechblasentext">
    <w:name w:val="Balloon Text"/>
    <w:basedOn w:val="Standard"/>
    <w:link w:val="SprechblasentextZchn"/>
    <w:uiPriority w:val="99"/>
    <w:semiHidden/>
    <w:unhideWhenUsed/>
    <w:rsid w:val="00C50AC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50ACE"/>
    <w:rPr>
      <w:rFonts w:ascii="Segoe UI" w:hAnsi="Segoe UI" w:cs="Segoe UI"/>
      <w:sz w:val="18"/>
      <w:szCs w:val="18"/>
    </w:rPr>
  </w:style>
  <w:style w:type="character" w:styleId="NichtaufgelsteErwhnung">
    <w:name w:val="Unresolved Mention"/>
    <w:basedOn w:val="Absatz-Standardschriftart"/>
    <w:uiPriority w:val="99"/>
    <w:semiHidden/>
    <w:unhideWhenUsed/>
    <w:rsid w:val="00562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01362">
      <w:bodyDiv w:val="1"/>
      <w:marLeft w:val="0"/>
      <w:marRight w:val="0"/>
      <w:marTop w:val="0"/>
      <w:marBottom w:val="0"/>
      <w:divBdr>
        <w:top w:val="none" w:sz="0" w:space="0" w:color="auto"/>
        <w:left w:val="none" w:sz="0" w:space="0" w:color="auto"/>
        <w:bottom w:val="none" w:sz="0" w:space="0" w:color="auto"/>
        <w:right w:val="none" w:sz="0" w:space="0" w:color="auto"/>
      </w:divBdr>
      <w:divsChild>
        <w:div w:id="381953204">
          <w:marLeft w:val="547"/>
          <w:marRight w:val="0"/>
          <w:marTop w:val="0"/>
          <w:marBottom w:val="0"/>
          <w:divBdr>
            <w:top w:val="none" w:sz="0" w:space="0" w:color="auto"/>
            <w:left w:val="none" w:sz="0" w:space="0" w:color="auto"/>
            <w:bottom w:val="none" w:sz="0" w:space="0" w:color="auto"/>
            <w:right w:val="none" w:sz="0" w:space="0" w:color="auto"/>
          </w:divBdr>
        </w:div>
        <w:div w:id="1991447690">
          <w:marLeft w:val="547"/>
          <w:marRight w:val="0"/>
          <w:marTop w:val="0"/>
          <w:marBottom w:val="0"/>
          <w:divBdr>
            <w:top w:val="none" w:sz="0" w:space="0" w:color="auto"/>
            <w:left w:val="none" w:sz="0" w:space="0" w:color="auto"/>
            <w:bottom w:val="none" w:sz="0" w:space="0" w:color="auto"/>
            <w:right w:val="none" w:sz="0" w:space="0" w:color="auto"/>
          </w:divBdr>
        </w:div>
        <w:div w:id="1769080360">
          <w:marLeft w:val="547"/>
          <w:marRight w:val="0"/>
          <w:marTop w:val="0"/>
          <w:marBottom w:val="0"/>
          <w:divBdr>
            <w:top w:val="none" w:sz="0" w:space="0" w:color="auto"/>
            <w:left w:val="none" w:sz="0" w:space="0" w:color="auto"/>
            <w:bottom w:val="none" w:sz="0" w:space="0" w:color="auto"/>
            <w:right w:val="none" w:sz="0" w:space="0" w:color="auto"/>
          </w:divBdr>
        </w:div>
        <w:div w:id="747918983">
          <w:marLeft w:val="547"/>
          <w:marRight w:val="0"/>
          <w:marTop w:val="0"/>
          <w:marBottom w:val="0"/>
          <w:divBdr>
            <w:top w:val="none" w:sz="0" w:space="0" w:color="auto"/>
            <w:left w:val="none" w:sz="0" w:space="0" w:color="auto"/>
            <w:bottom w:val="none" w:sz="0" w:space="0" w:color="auto"/>
            <w:right w:val="none" w:sz="0" w:space="0" w:color="auto"/>
          </w:divBdr>
        </w:div>
        <w:div w:id="755596086">
          <w:marLeft w:val="547"/>
          <w:marRight w:val="0"/>
          <w:marTop w:val="0"/>
          <w:marBottom w:val="0"/>
          <w:divBdr>
            <w:top w:val="none" w:sz="0" w:space="0" w:color="auto"/>
            <w:left w:val="none" w:sz="0" w:space="0" w:color="auto"/>
            <w:bottom w:val="none" w:sz="0" w:space="0" w:color="auto"/>
            <w:right w:val="none" w:sz="0" w:space="0" w:color="auto"/>
          </w:divBdr>
        </w:div>
        <w:div w:id="1183711496">
          <w:marLeft w:val="547"/>
          <w:marRight w:val="0"/>
          <w:marTop w:val="0"/>
          <w:marBottom w:val="0"/>
          <w:divBdr>
            <w:top w:val="none" w:sz="0" w:space="0" w:color="auto"/>
            <w:left w:val="none" w:sz="0" w:space="0" w:color="auto"/>
            <w:bottom w:val="none" w:sz="0" w:space="0" w:color="auto"/>
            <w:right w:val="none" w:sz="0" w:space="0" w:color="auto"/>
          </w:divBdr>
        </w:div>
      </w:divsChild>
    </w:div>
    <w:div w:id="260844343">
      <w:bodyDiv w:val="1"/>
      <w:marLeft w:val="0"/>
      <w:marRight w:val="0"/>
      <w:marTop w:val="0"/>
      <w:marBottom w:val="0"/>
      <w:divBdr>
        <w:top w:val="none" w:sz="0" w:space="0" w:color="auto"/>
        <w:left w:val="none" w:sz="0" w:space="0" w:color="auto"/>
        <w:bottom w:val="none" w:sz="0" w:space="0" w:color="auto"/>
        <w:right w:val="none" w:sz="0" w:space="0" w:color="auto"/>
      </w:divBdr>
    </w:div>
    <w:div w:id="302858616">
      <w:bodyDiv w:val="1"/>
      <w:marLeft w:val="0"/>
      <w:marRight w:val="0"/>
      <w:marTop w:val="0"/>
      <w:marBottom w:val="0"/>
      <w:divBdr>
        <w:top w:val="none" w:sz="0" w:space="0" w:color="auto"/>
        <w:left w:val="none" w:sz="0" w:space="0" w:color="auto"/>
        <w:bottom w:val="none" w:sz="0" w:space="0" w:color="auto"/>
        <w:right w:val="none" w:sz="0" w:space="0" w:color="auto"/>
      </w:divBdr>
      <w:divsChild>
        <w:div w:id="2058819391">
          <w:marLeft w:val="547"/>
          <w:marRight w:val="0"/>
          <w:marTop w:val="0"/>
          <w:marBottom w:val="0"/>
          <w:divBdr>
            <w:top w:val="none" w:sz="0" w:space="0" w:color="auto"/>
            <w:left w:val="none" w:sz="0" w:space="0" w:color="auto"/>
            <w:bottom w:val="none" w:sz="0" w:space="0" w:color="auto"/>
            <w:right w:val="none" w:sz="0" w:space="0" w:color="auto"/>
          </w:divBdr>
        </w:div>
        <w:div w:id="1191600813">
          <w:marLeft w:val="547"/>
          <w:marRight w:val="0"/>
          <w:marTop w:val="0"/>
          <w:marBottom w:val="0"/>
          <w:divBdr>
            <w:top w:val="none" w:sz="0" w:space="0" w:color="auto"/>
            <w:left w:val="none" w:sz="0" w:space="0" w:color="auto"/>
            <w:bottom w:val="none" w:sz="0" w:space="0" w:color="auto"/>
            <w:right w:val="none" w:sz="0" w:space="0" w:color="auto"/>
          </w:divBdr>
        </w:div>
        <w:div w:id="490753408">
          <w:marLeft w:val="547"/>
          <w:marRight w:val="0"/>
          <w:marTop w:val="0"/>
          <w:marBottom w:val="0"/>
          <w:divBdr>
            <w:top w:val="none" w:sz="0" w:space="0" w:color="auto"/>
            <w:left w:val="none" w:sz="0" w:space="0" w:color="auto"/>
            <w:bottom w:val="none" w:sz="0" w:space="0" w:color="auto"/>
            <w:right w:val="none" w:sz="0" w:space="0" w:color="auto"/>
          </w:divBdr>
        </w:div>
        <w:div w:id="149949851">
          <w:marLeft w:val="547"/>
          <w:marRight w:val="0"/>
          <w:marTop w:val="0"/>
          <w:marBottom w:val="0"/>
          <w:divBdr>
            <w:top w:val="none" w:sz="0" w:space="0" w:color="auto"/>
            <w:left w:val="none" w:sz="0" w:space="0" w:color="auto"/>
            <w:bottom w:val="none" w:sz="0" w:space="0" w:color="auto"/>
            <w:right w:val="none" w:sz="0" w:space="0" w:color="auto"/>
          </w:divBdr>
        </w:div>
      </w:divsChild>
    </w:div>
    <w:div w:id="344523425">
      <w:bodyDiv w:val="1"/>
      <w:marLeft w:val="0"/>
      <w:marRight w:val="0"/>
      <w:marTop w:val="0"/>
      <w:marBottom w:val="0"/>
      <w:divBdr>
        <w:top w:val="none" w:sz="0" w:space="0" w:color="auto"/>
        <w:left w:val="none" w:sz="0" w:space="0" w:color="auto"/>
        <w:bottom w:val="none" w:sz="0" w:space="0" w:color="auto"/>
        <w:right w:val="none" w:sz="0" w:space="0" w:color="auto"/>
      </w:divBdr>
    </w:div>
    <w:div w:id="464011224">
      <w:bodyDiv w:val="1"/>
      <w:marLeft w:val="0"/>
      <w:marRight w:val="0"/>
      <w:marTop w:val="0"/>
      <w:marBottom w:val="0"/>
      <w:divBdr>
        <w:top w:val="none" w:sz="0" w:space="0" w:color="auto"/>
        <w:left w:val="none" w:sz="0" w:space="0" w:color="auto"/>
        <w:bottom w:val="none" w:sz="0" w:space="0" w:color="auto"/>
        <w:right w:val="none" w:sz="0" w:space="0" w:color="auto"/>
      </w:divBdr>
    </w:div>
    <w:div w:id="572618690">
      <w:bodyDiv w:val="1"/>
      <w:marLeft w:val="0"/>
      <w:marRight w:val="0"/>
      <w:marTop w:val="0"/>
      <w:marBottom w:val="0"/>
      <w:divBdr>
        <w:top w:val="none" w:sz="0" w:space="0" w:color="auto"/>
        <w:left w:val="none" w:sz="0" w:space="0" w:color="auto"/>
        <w:bottom w:val="none" w:sz="0" w:space="0" w:color="auto"/>
        <w:right w:val="none" w:sz="0" w:space="0" w:color="auto"/>
      </w:divBdr>
      <w:divsChild>
        <w:div w:id="2131127960">
          <w:marLeft w:val="547"/>
          <w:marRight w:val="0"/>
          <w:marTop w:val="0"/>
          <w:marBottom w:val="0"/>
          <w:divBdr>
            <w:top w:val="none" w:sz="0" w:space="0" w:color="auto"/>
            <w:left w:val="none" w:sz="0" w:space="0" w:color="auto"/>
            <w:bottom w:val="none" w:sz="0" w:space="0" w:color="auto"/>
            <w:right w:val="none" w:sz="0" w:space="0" w:color="auto"/>
          </w:divBdr>
        </w:div>
        <w:div w:id="257253717">
          <w:marLeft w:val="547"/>
          <w:marRight w:val="0"/>
          <w:marTop w:val="0"/>
          <w:marBottom w:val="0"/>
          <w:divBdr>
            <w:top w:val="none" w:sz="0" w:space="0" w:color="auto"/>
            <w:left w:val="none" w:sz="0" w:space="0" w:color="auto"/>
            <w:bottom w:val="none" w:sz="0" w:space="0" w:color="auto"/>
            <w:right w:val="none" w:sz="0" w:space="0" w:color="auto"/>
          </w:divBdr>
        </w:div>
      </w:divsChild>
    </w:div>
    <w:div w:id="615988231">
      <w:bodyDiv w:val="1"/>
      <w:marLeft w:val="0"/>
      <w:marRight w:val="0"/>
      <w:marTop w:val="0"/>
      <w:marBottom w:val="0"/>
      <w:divBdr>
        <w:top w:val="none" w:sz="0" w:space="0" w:color="auto"/>
        <w:left w:val="none" w:sz="0" w:space="0" w:color="auto"/>
        <w:bottom w:val="none" w:sz="0" w:space="0" w:color="auto"/>
        <w:right w:val="none" w:sz="0" w:space="0" w:color="auto"/>
      </w:divBdr>
    </w:div>
    <w:div w:id="776101266">
      <w:bodyDiv w:val="1"/>
      <w:marLeft w:val="0"/>
      <w:marRight w:val="0"/>
      <w:marTop w:val="0"/>
      <w:marBottom w:val="0"/>
      <w:divBdr>
        <w:top w:val="none" w:sz="0" w:space="0" w:color="auto"/>
        <w:left w:val="none" w:sz="0" w:space="0" w:color="auto"/>
        <w:bottom w:val="none" w:sz="0" w:space="0" w:color="auto"/>
        <w:right w:val="none" w:sz="0" w:space="0" w:color="auto"/>
      </w:divBdr>
    </w:div>
    <w:div w:id="928003816">
      <w:bodyDiv w:val="1"/>
      <w:marLeft w:val="0"/>
      <w:marRight w:val="0"/>
      <w:marTop w:val="0"/>
      <w:marBottom w:val="0"/>
      <w:divBdr>
        <w:top w:val="none" w:sz="0" w:space="0" w:color="auto"/>
        <w:left w:val="none" w:sz="0" w:space="0" w:color="auto"/>
        <w:bottom w:val="none" w:sz="0" w:space="0" w:color="auto"/>
        <w:right w:val="none" w:sz="0" w:space="0" w:color="auto"/>
      </w:divBdr>
    </w:div>
    <w:div w:id="953748438">
      <w:bodyDiv w:val="1"/>
      <w:marLeft w:val="0"/>
      <w:marRight w:val="0"/>
      <w:marTop w:val="0"/>
      <w:marBottom w:val="0"/>
      <w:divBdr>
        <w:top w:val="none" w:sz="0" w:space="0" w:color="auto"/>
        <w:left w:val="none" w:sz="0" w:space="0" w:color="auto"/>
        <w:bottom w:val="none" w:sz="0" w:space="0" w:color="auto"/>
        <w:right w:val="none" w:sz="0" w:space="0" w:color="auto"/>
      </w:divBdr>
    </w:div>
    <w:div w:id="969164669">
      <w:bodyDiv w:val="1"/>
      <w:marLeft w:val="0"/>
      <w:marRight w:val="0"/>
      <w:marTop w:val="0"/>
      <w:marBottom w:val="0"/>
      <w:divBdr>
        <w:top w:val="none" w:sz="0" w:space="0" w:color="auto"/>
        <w:left w:val="none" w:sz="0" w:space="0" w:color="auto"/>
        <w:bottom w:val="none" w:sz="0" w:space="0" w:color="auto"/>
        <w:right w:val="none" w:sz="0" w:space="0" w:color="auto"/>
      </w:divBdr>
      <w:divsChild>
        <w:div w:id="1402829594">
          <w:marLeft w:val="0"/>
          <w:marRight w:val="0"/>
          <w:marTop w:val="0"/>
          <w:marBottom w:val="0"/>
          <w:divBdr>
            <w:top w:val="none" w:sz="0" w:space="0" w:color="auto"/>
            <w:left w:val="none" w:sz="0" w:space="0" w:color="auto"/>
            <w:bottom w:val="none" w:sz="0" w:space="0" w:color="auto"/>
            <w:right w:val="none" w:sz="0" w:space="0" w:color="auto"/>
          </w:divBdr>
        </w:div>
      </w:divsChild>
    </w:div>
    <w:div w:id="1162618753">
      <w:bodyDiv w:val="1"/>
      <w:marLeft w:val="0"/>
      <w:marRight w:val="0"/>
      <w:marTop w:val="0"/>
      <w:marBottom w:val="0"/>
      <w:divBdr>
        <w:top w:val="none" w:sz="0" w:space="0" w:color="auto"/>
        <w:left w:val="none" w:sz="0" w:space="0" w:color="auto"/>
        <w:bottom w:val="none" w:sz="0" w:space="0" w:color="auto"/>
        <w:right w:val="none" w:sz="0" w:space="0" w:color="auto"/>
      </w:divBdr>
      <w:divsChild>
        <w:div w:id="982000330">
          <w:marLeft w:val="547"/>
          <w:marRight w:val="0"/>
          <w:marTop w:val="0"/>
          <w:marBottom w:val="0"/>
          <w:divBdr>
            <w:top w:val="none" w:sz="0" w:space="0" w:color="auto"/>
            <w:left w:val="none" w:sz="0" w:space="0" w:color="auto"/>
            <w:bottom w:val="none" w:sz="0" w:space="0" w:color="auto"/>
            <w:right w:val="none" w:sz="0" w:space="0" w:color="auto"/>
          </w:divBdr>
        </w:div>
        <w:div w:id="163127306">
          <w:marLeft w:val="547"/>
          <w:marRight w:val="0"/>
          <w:marTop w:val="0"/>
          <w:marBottom w:val="0"/>
          <w:divBdr>
            <w:top w:val="none" w:sz="0" w:space="0" w:color="auto"/>
            <w:left w:val="none" w:sz="0" w:space="0" w:color="auto"/>
            <w:bottom w:val="none" w:sz="0" w:space="0" w:color="auto"/>
            <w:right w:val="none" w:sz="0" w:space="0" w:color="auto"/>
          </w:divBdr>
        </w:div>
        <w:div w:id="1416198071">
          <w:marLeft w:val="547"/>
          <w:marRight w:val="0"/>
          <w:marTop w:val="0"/>
          <w:marBottom w:val="0"/>
          <w:divBdr>
            <w:top w:val="none" w:sz="0" w:space="0" w:color="auto"/>
            <w:left w:val="none" w:sz="0" w:space="0" w:color="auto"/>
            <w:bottom w:val="none" w:sz="0" w:space="0" w:color="auto"/>
            <w:right w:val="none" w:sz="0" w:space="0" w:color="auto"/>
          </w:divBdr>
        </w:div>
      </w:divsChild>
    </w:div>
    <w:div w:id="1277980082">
      <w:bodyDiv w:val="1"/>
      <w:marLeft w:val="0"/>
      <w:marRight w:val="0"/>
      <w:marTop w:val="0"/>
      <w:marBottom w:val="0"/>
      <w:divBdr>
        <w:top w:val="none" w:sz="0" w:space="0" w:color="auto"/>
        <w:left w:val="none" w:sz="0" w:space="0" w:color="auto"/>
        <w:bottom w:val="none" w:sz="0" w:space="0" w:color="auto"/>
        <w:right w:val="none" w:sz="0" w:space="0" w:color="auto"/>
      </w:divBdr>
    </w:div>
    <w:div w:id="1572226638">
      <w:bodyDiv w:val="1"/>
      <w:marLeft w:val="0"/>
      <w:marRight w:val="0"/>
      <w:marTop w:val="0"/>
      <w:marBottom w:val="0"/>
      <w:divBdr>
        <w:top w:val="none" w:sz="0" w:space="0" w:color="auto"/>
        <w:left w:val="none" w:sz="0" w:space="0" w:color="auto"/>
        <w:bottom w:val="none" w:sz="0" w:space="0" w:color="auto"/>
        <w:right w:val="none" w:sz="0" w:space="0" w:color="auto"/>
      </w:divBdr>
    </w:div>
    <w:div w:id="1713269773">
      <w:bodyDiv w:val="1"/>
      <w:marLeft w:val="0"/>
      <w:marRight w:val="0"/>
      <w:marTop w:val="0"/>
      <w:marBottom w:val="0"/>
      <w:divBdr>
        <w:top w:val="none" w:sz="0" w:space="0" w:color="auto"/>
        <w:left w:val="none" w:sz="0" w:space="0" w:color="auto"/>
        <w:bottom w:val="none" w:sz="0" w:space="0" w:color="auto"/>
        <w:right w:val="none" w:sz="0" w:space="0" w:color="auto"/>
      </w:divBdr>
    </w:div>
    <w:div w:id="1841654167">
      <w:bodyDiv w:val="1"/>
      <w:marLeft w:val="0"/>
      <w:marRight w:val="0"/>
      <w:marTop w:val="0"/>
      <w:marBottom w:val="0"/>
      <w:divBdr>
        <w:top w:val="none" w:sz="0" w:space="0" w:color="auto"/>
        <w:left w:val="none" w:sz="0" w:space="0" w:color="auto"/>
        <w:bottom w:val="none" w:sz="0" w:space="0" w:color="auto"/>
        <w:right w:val="none" w:sz="0" w:space="0" w:color="auto"/>
      </w:divBdr>
      <w:divsChild>
        <w:div w:id="76555910">
          <w:marLeft w:val="360"/>
          <w:marRight w:val="0"/>
          <w:marTop w:val="200"/>
          <w:marBottom w:val="0"/>
          <w:divBdr>
            <w:top w:val="none" w:sz="0" w:space="0" w:color="auto"/>
            <w:left w:val="none" w:sz="0" w:space="0" w:color="auto"/>
            <w:bottom w:val="none" w:sz="0" w:space="0" w:color="auto"/>
            <w:right w:val="none" w:sz="0" w:space="0" w:color="auto"/>
          </w:divBdr>
        </w:div>
      </w:divsChild>
    </w:div>
    <w:div w:id="2034188152">
      <w:bodyDiv w:val="1"/>
      <w:marLeft w:val="0"/>
      <w:marRight w:val="0"/>
      <w:marTop w:val="0"/>
      <w:marBottom w:val="0"/>
      <w:divBdr>
        <w:top w:val="none" w:sz="0" w:space="0" w:color="auto"/>
        <w:left w:val="none" w:sz="0" w:space="0" w:color="auto"/>
        <w:bottom w:val="none" w:sz="0" w:space="0" w:color="auto"/>
        <w:right w:val="none" w:sz="0" w:space="0" w:color="auto"/>
      </w:divBdr>
    </w:div>
    <w:div w:id="2083020457">
      <w:bodyDiv w:val="1"/>
      <w:marLeft w:val="0"/>
      <w:marRight w:val="0"/>
      <w:marTop w:val="0"/>
      <w:marBottom w:val="0"/>
      <w:divBdr>
        <w:top w:val="none" w:sz="0" w:space="0" w:color="auto"/>
        <w:left w:val="none" w:sz="0" w:space="0" w:color="auto"/>
        <w:bottom w:val="none" w:sz="0" w:space="0" w:color="auto"/>
        <w:right w:val="none" w:sz="0" w:space="0" w:color="auto"/>
      </w:divBdr>
      <w:divsChild>
        <w:div w:id="371544151">
          <w:marLeft w:val="547"/>
          <w:marRight w:val="0"/>
          <w:marTop w:val="0"/>
          <w:marBottom w:val="0"/>
          <w:divBdr>
            <w:top w:val="none" w:sz="0" w:space="0" w:color="auto"/>
            <w:left w:val="none" w:sz="0" w:space="0" w:color="auto"/>
            <w:bottom w:val="none" w:sz="0" w:space="0" w:color="auto"/>
            <w:right w:val="none" w:sz="0" w:space="0" w:color="auto"/>
          </w:divBdr>
        </w:div>
        <w:div w:id="207383013">
          <w:marLeft w:val="547"/>
          <w:marRight w:val="0"/>
          <w:marTop w:val="0"/>
          <w:marBottom w:val="0"/>
          <w:divBdr>
            <w:top w:val="none" w:sz="0" w:space="0" w:color="auto"/>
            <w:left w:val="none" w:sz="0" w:space="0" w:color="auto"/>
            <w:bottom w:val="none" w:sz="0" w:space="0" w:color="auto"/>
            <w:right w:val="none" w:sz="0" w:space="0" w:color="auto"/>
          </w:divBdr>
        </w:div>
        <w:div w:id="734469821">
          <w:marLeft w:val="547"/>
          <w:marRight w:val="0"/>
          <w:marTop w:val="0"/>
          <w:marBottom w:val="0"/>
          <w:divBdr>
            <w:top w:val="none" w:sz="0" w:space="0" w:color="auto"/>
            <w:left w:val="none" w:sz="0" w:space="0" w:color="auto"/>
            <w:bottom w:val="none" w:sz="0" w:space="0" w:color="auto"/>
            <w:right w:val="none" w:sz="0" w:space="0" w:color="auto"/>
          </w:divBdr>
        </w:div>
        <w:div w:id="62246117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eiling@tu-berlin.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atenschutzkonferenz-online.de/media/kp/dsk_kpnr_2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s.tu-berlin.de/datenschutz_notizen/tag/kuenstliche-intellige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reativecommons.org/licenses/by/4.0/deed.de" TargetMode="External"/><Relationship Id="rId4" Type="http://schemas.openxmlformats.org/officeDocument/2006/relationships/settings" Target="settings.xml"/><Relationship Id="rId9" Type="http://schemas.openxmlformats.org/officeDocument/2006/relationships/hyperlink" Target="https://tu-berlin.de/k3/datenschutz/"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bitkom.org/Klick-Tool-Umsetzungsleitfaden-KI-Verordnung" TargetMode="External"/><Relationship Id="rId3" Type="http://schemas.openxmlformats.org/officeDocument/2006/relationships/hyperlink" Target="https://curia.europa.eu/jcms/upload/docs/application/pdf/2023-12/cp230186de.pdf" TargetMode="External"/><Relationship Id="rId7" Type="http://schemas.openxmlformats.org/officeDocument/2006/relationships/hyperlink" Target="https://eur-lex.europa.eu/legal-content/DE/TXT/HTML/?uri=OJ:L_202401689" TargetMode="External"/><Relationship Id="rId2" Type="http://schemas.openxmlformats.org/officeDocument/2006/relationships/hyperlink" Target="http://www.datenschutzkonferenz-online.de/media/wp/20180206_wp251_rev01.docx" TargetMode="External"/><Relationship Id="rId1" Type="http://schemas.openxmlformats.org/officeDocument/2006/relationships/hyperlink" Target="https://www.bvdnet.de/de/bvd-news/" TargetMode="External"/><Relationship Id="rId6" Type="http://schemas.openxmlformats.org/officeDocument/2006/relationships/hyperlink" Target="https://curia.europa.eu/juris/documents.jsf?num=C%20203/22" TargetMode="External"/><Relationship Id="rId5" Type="http://schemas.openxmlformats.org/officeDocument/2006/relationships/hyperlink" Target="https://dejure.org/gesetze/DSGVO/9.html" TargetMode="External"/><Relationship Id="rId4" Type="http://schemas.openxmlformats.org/officeDocument/2006/relationships/hyperlink" Target="https://curia.europa.eu/juris/document/document.jsf?docid=280426&amp;mode=req&amp;pageIndex=1&amp;dir=&amp;occ=first&amp;part=1&amp;text=&amp;doclang=DE&amp;cid=874894" TargetMode="External"/><Relationship Id="rId9" Type="http://schemas.openxmlformats.org/officeDocument/2006/relationships/hyperlink" Target="http://www.datenschutzkonferenz-online.de/media/wp/20180206_wp251_rev01.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0E4F6-BE57-4195-9410-80BA39CD0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2793</Words>
  <Characters>17601</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Team Datenschutz</dc:creator>
  <cp:keywords/>
  <dc:description/>
  <cp:lastModifiedBy>Team Datenschutz</cp:lastModifiedBy>
  <cp:revision>5</cp:revision>
  <cp:lastPrinted>2025-06-20T13:22:00Z</cp:lastPrinted>
  <dcterms:created xsi:type="dcterms:W3CDTF">2025-06-20T13:17:00Z</dcterms:created>
  <dcterms:modified xsi:type="dcterms:W3CDTF">2025-06-20T13:37:00Z</dcterms:modified>
</cp:coreProperties>
</file>